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color w:val="C0504D"/>
        </w:rPr>
        <w:t>Revenue-floor sync note: EUR 0.5m is the flat current MSC/MSB Breakfast event-revenue floor already generated in the prior year and expected to repeat this year. It is not speculative new-product revenue. EUR 2.5m is the 2026 expansion ceiling including that floor; legacy high scenario remains diligence appendix only.</w:t>
      </w:r>
    </w:p>
    <w:p>
      <w:pPr>
        <w:pStyle w:val="Title"/>
        <w:spacing w:after="120" w:before="0"/>
      </w:pPr>
      <w:r>
        <w:rPr>
          <w:rFonts w:ascii="Arial" w:cs="Arial" w:eastAsia="Arial" w:hAnsi="Arial"/>
          <w:b/>
          <w:bCs/>
          <w:i w:val="false"/>
          <w:iCs w:val="false"/>
          <w:color w:val="17365D"/>
          <w:sz w:val="36"/>
          <w:szCs w:val="36"/>
        </w:rPr>
        <w:t xml:space="preserve">Based Resilience House Financial Model Summary Outline</w:t>
      </w:r>
    </w:p>
    <w:p>
      <w:pPr>
        <w:spacing w:after="160" w:before="0" w:line="240"/>
        <w:jc w:val="left"/>
      </w:pPr>
      <w:r>
        <w:rPr>
          <w:rFonts w:ascii="Arial" w:cs="Arial" w:eastAsia="Arial" w:hAnsi="Arial"/>
          <w:b w:val="false"/>
          <w:bCs w:val="false"/>
          <w:i/>
          <w:iCs/>
          <w:color w:val="595959"/>
          <w:sz w:val="18"/>
          <w:szCs w:val="18"/>
        </w:rPr>
        <w:t xml:space="preserve">Executive-level model readout | Two-column reference and explanation format</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7200"/>
        <w:gridCol w:w="7200"/>
      </w:tblGrid>
      <w:tr>
        <w:tc>
          <w:tcPr>
            <w:tcW w:type="dxa" w:w="720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60" w:before="0" w:line="240"/>
              <w:jc w:val="left"/>
            </w:pPr>
            <w:r>
              <w:rPr>
                <w:rFonts w:ascii="Arial" w:cs="Arial" w:eastAsia="Arial" w:hAnsi="Arial"/>
                <w:b/>
                <w:bCs/>
                <w:i w:val="false"/>
                <w:iCs w:val="false"/>
                <w:color w:val="FFFFFF"/>
                <w:sz w:val="17"/>
                <w:szCs w:val="17"/>
              </w:rPr>
              <w:t xml:space="preserve">Model package reviewed</w:t>
            </w:r>
          </w:p>
          <w:p>
            <w:pPr>
              <w:spacing w:after="60" w:before="0" w:line="240"/>
              <w:jc w:val="left"/>
            </w:pPr>
            <w:r>
              <w:rPr>
                <w:rFonts w:ascii="Arial" w:cs="Arial" w:eastAsia="Arial" w:hAnsi="Arial"/>
                <w:b w:val="false"/>
                <w:bCs w:val="false"/>
                <w:i w:val="false"/>
                <w:iCs w:val="false"/>
                <w:color w:val="FFFFFF"/>
                <w:sz w:val="16"/>
                <w:szCs w:val="16"/>
              </w:rPr>
              <w:t xml:space="preserve">Latest overlay: hroi_revenue_runway_recalibration_bridge_26_0507.xlsx</w:t>
            </w:r>
          </w:p>
          <w:p>
            <w:pPr>
              <w:spacing w:after="60" w:before="0" w:line="240"/>
              <w:jc w:val="left"/>
            </w:pPr>
            <w:r>
              <w:rPr>
                <w:rFonts w:ascii="Arial" w:cs="Arial" w:eastAsia="Arial" w:hAnsi="Arial"/>
                <w:b w:val="false"/>
                <w:bCs w:val="false"/>
                <w:i w:val="false"/>
                <w:iCs w:val="false"/>
                <w:color w:val="FFFFFF"/>
                <w:sz w:val="16"/>
                <w:szCs w:val="16"/>
              </w:rPr>
              <w:t xml:space="preserve">Underlying model: based_resilience_house_three_statement_driver_model_26_0504_excel_safe.xlsx</w:t>
            </w:r>
          </w:p>
        </w:tc>
        <w:tc>
          <w:tcPr>
            <w:tcW w:type="dxa" w:w="720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60" w:before="0" w:line="240"/>
              <w:jc w:val="left"/>
            </w:pPr>
            <w:r>
              <w:rPr>
                <w:rFonts w:ascii="Arial" w:cs="Arial" w:eastAsia="Arial" w:hAnsi="Arial"/>
                <w:b/>
                <w:bCs/>
                <w:i w:val="false"/>
                <w:iCs w:val="false"/>
                <w:color w:val="FFFFFF"/>
                <w:sz w:val="17"/>
                <w:szCs w:val="17"/>
              </w:rPr>
              <w:t xml:space="preserve">Executive verdict</w:t>
            </w:r>
          </w:p>
          <w:p>
            <w:pPr>
              <w:spacing w:after="60" w:before="0" w:line="240"/>
              <w:jc w:val="left"/>
            </w:pPr>
            <w:r>
              <w:rPr>
                <w:rFonts w:ascii="Arial" w:cs="Arial" w:eastAsia="Arial" w:hAnsi="Arial"/>
                <w:b w:val="false"/>
                <w:bCs w:val="false"/>
                <w:i w:val="false"/>
                <w:iCs w:val="false"/>
                <w:color w:val="FFFFFF"/>
                <w:sz w:val="16"/>
                <w:szCs w:val="16"/>
              </w:rPr>
              <w:t xml:space="preserve">Driver-backed model architecture is strong. Investor credibility depends on using the 26_0507 current revenue floor as base case and keeping the legacy high scenario in appendix/diligence only.</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Summary outline</w:t>
      </w:r>
    </w:p>
    <w:p>
      <w:pPr>
        <w:spacing w:after="80" w:before="0" w:line="240"/>
        <w:jc w:val="left"/>
      </w:pPr>
      <w:r>
        <w:rPr>
          <w:rFonts w:ascii="Arial" w:cs="Arial" w:eastAsia="Arial" w:hAnsi="Arial"/>
          <w:b w:val="false"/>
          <w:bCs w:val="false"/>
          <w:i w:val="false"/>
          <w:iCs w:val="false"/>
          <w:color w:val="222222"/>
          <w:sz w:val="18"/>
          <w:szCs w:val="18"/>
        </w:rPr>
        <w:t xml:space="preserve">This document translates the workbook into an executive model narrative. Left-side blocks provide numbered references and key-number tables; right-side blocks explain methodology, quality, diligence interpretation and finetuning priorities.</w:t>
      </w:r>
    </w:p>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R1. Model package and methodology</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R1</w:t>
                  </w:r>
                </w:p>
              </w:tc>
              <w:tc>
                <w:tcPr>
                  <w:tcW w:type="dxa" w:w="3950"/>
                  <w:tcBorders>
                    <w:top w:val="single" w:color="C9D3DD" w:sz="6"/>
                    <w:left w:val="single" w:color="C9D3DD" w:sz="6"/>
                    <w:bottom w:val="single" w:color="C9D3DD" w:sz="6"/>
                    <w:right w:val="single" w:color="C9D3DD" w:sz="6"/>
                  </w:tcBorders>
                  <w:shd w:fill="D9EAF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Artifacts reviewed</w:t>
                  </w:r>
                </w:p>
              </w:tc>
            </w:tr>
            <w:tr>
              <w:tc>
                <w:tcPr>
                  <w:tcW w:type="dxa" w:w="4800"/>
                  <w:gridSpan w:val="2"/>
                  <w:tcBorders>
                    <w:top w:val="single" w:color="C9D3DD" w:sz="6"/>
                    <w:left w:val="single" w:color="C9D3DD" w:sz="6"/>
                    <w:bottom w:val="single" w:color="C9D3DD" w:sz="6"/>
                    <w:right w:val="single" w:color="C9D3DD" w:sz="6"/>
                  </w:tcBorders>
                  <w:shd w:fill="D9EAF7" w:val="clear"/>
                  <w:tcMar>
                    <w:top w:type="dxa" w:w="120"/>
                    <w:left w:type="dxa" w:w="140"/>
                    <w:bottom w:type="dxa" w:w="120"/>
                    <w:right w:type="dxa" w:w="140"/>
                  </w:tcMar>
                  <w:vAlign w:val="top"/>
                </w:tcPr>
                <w:p>
                  <w:pPr>
                    <w:spacing w:after="40" w:before="0" w:line="240"/>
                    <w:jc w:val="left"/>
                  </w:pPr>
                  <w:r>
                    <w:rPr>
                      <w:rFonts w:ascii="Arial" w:cs="Arial" w:eastAsia="Arial" w:hAnsi="Arial"/>
                      <w:b/>
                      <w:bCs/>
                      <w:i w:val="false"/>
                      <w:iCs w:val="false"/>
                      <w:color w:val="17365D"/>
                      <w:sz w:val="16"/>
                      <w:szCs w:val="16"/>
                    </w:rPr>
                    <w:t xml:space="preserve">Latest overlay: 26_0507 HROI revenue-runway bridge</w:t>
                  </w:r>
                </w:p>
                <w:p>
                  <w:pPr>
                    <w:spacing w:after="60" w:before="0" w:line="240"/>
                    <w:jc w:val="left"/>
                  </w:pPr>
                  <w:r>
                    <w:rPr>
                      <w:rFonts w:ascii="Arial" w:cs="Arial" w:eastAsia="Arial" w:hAnsi="Arial"/>
                      <w:b w:val="false"/>
                      <w:bCs w:val="false"/>
                      <w:i w:val="false"/>
                      <w:iCs w:val="false"/>
                      <w:color w:val="595959"/>
                      <w:sz w:val="16"/>
                      <w:szCs w:val="16"/>
                    </w:rPr>
                    <w:t xml:space="preserve">10 sheets; 0 formulas; static investor recalibration bridge.</w:t>
                  </w:r>
                </w:p>
                <w:p>
                  <w:pPr>
                    <w:spacing w:after="40" w:before="0" w:line="240"/>
                    <w:jc w:val="left"/>
                  </w:pPr>
                  <w:r>
                    <w:rPr>
                      <w:rFonts w:ascii="Arial" w:cs="Arial" w:eastAsia="Arial" w:hAnsi="Arial"/>
                      <w:b/>
                      <w:bCs/>
                      <w:i w:val="false"/>
                      <w:iCs w:val="false"/>
                      <w:color w:val="17365D"/>
                      <w:sz w:val="16"/>
                      <w:szCs w:val="16"/>
                    </w:rPr>
                    <w:t xml:space="preserve">Underlying model: 26_0504 three-statement driver model</w:t>
                  </w:r>
                </w:p>
                <w:p>
                  <w:pPr>
                    <w:spacing w:after="60" w:before="0" w:line="240"/>
                    <w:jc w:val="left"/>
                  </w:pPr>
                  <w:r>
                    <w:rPr>
                      <w:rFonts w:ascii="Arial" w:cs="Arial" w:eastAsia="Arial" w:hAnsi="Arial"/>
                      <w:b w:val="false"/>
                      <w:bCs w:val="false"/>
                      <w:i w:val="false"/>
                      <w:iCs w:val="false"/>
                      <w:color w:val="595959"/>
                      <w:sz w:val="16"/>
                      <w:szCs w:val="16"/>
                    </w:rPr>
                    <w:t xml:space="preserve">14 sheets; 565 formulas; assumptions, product drivers, unit economics, statements, checks, dashboard, source map.</w:t>
                  </w:r>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Bottom-up, assumption-led model architecture</w:t>
            </w:r>
          </w:p>
          <w:p>
            <w:pPr>
              <w:spacing w:after="80" w:before="0" w:line="240"/>
              <w:jc w:val="left"/>
            </w:pPr>
            <w:r>
              <w:rPr>
                <w:rFonts w:ascii="Arial" w:cs="Arial" w:eastAsia="Arial" w:hAnsi="Arial"/>
                <w:b w:val="false"/>
                <w:bCs w:val="false"/>
                <w:i w:val="false"/>
                <w:iCs w:val="false"/>
                <w:color w:val="222222"/>
                <w:sz w:val="18"/>
                <w:szCs w:val="18"/>
              </w:rPr>
              <w:t xml:space="preserve">The model package is best described as a driver-backed three-statement model plus an investor-facing HROI recalibration overlay. The underlying workbook contains the live financial architecture; the latest 26_0507 workbook is a presentation bridge that translates the original model into a more credible first-send investor posture.</w:t>
            </w:r>
          </w:p>
          <w:p>
            <w:pPr>
              <w:spacing w:after="80" w:before="0" w:line="240"/>
              <w:jc w:val="left"/>
            </w:pPr>
            <w:r>
              <w:rPr>
                <w:rFonts w:ascii="Arial" w:cs="Arial" w:eastAsia="Arial" w:hAnsi="Arial"/>
                <w:b w:val="false"/>
                <w:bCs w:val="false"/>
                <w:i w:val="false"/>
                <w:iCs w:val="false"/>
                <w:color w:val="222222"/>
                <w:sz w:val="18"/>
                <w:szCs w:val="18"/>
              </w:rPr>
              <w:t xml:space="preserve">The methodology is appropriately bottom-up: revenue is decomposed by product line, customer/unit volume, pricing, churn, CAC, product cost, SG&amp;A, capex, working capital and financing route, then linked into income statement, balance sheet, cash flow, checks and dashboard tabs.</w:t>
            </w:r>
          </w:p>
          <w:p>
            <w:pPr>
              <w:spacing w:after="80" w:before="0" w:line="240"/>
              <w:jc w:val="left"/>
            </w:pPr>
            <w:r>
              <w:rPr>
                <w:rFonts w:ascii="Arial" w:cs="Arial" w:eastAsia="Arial" w:hAnsi="Arial"/>
                <w:b w:val="false"/>
                <w:bCs w:val="false"/>
                <w:i w:val="false"/>
                <w:iCs w:val="false"/>
                <w:color w:val="222222"/>
                <w:sz w:val="18"/>
                <w:szCs w:val="18"/>
              </w:rPr>
              <w:t xml:space="preserve">Professional wording should avoid saying there are no hardcoded inputs. The accurate statement is that key assumptions are centralized in input and driver layers, while outputs are formula-linked through the model. The 26_0507 overlay is intentionally static and should be treated as a narrative bridge, not the controlled model engine.</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R2. Market sizing and scenario sizing</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R2</w:t>
                  </w:r>
                </w:p>
              </w:tc>
              <w:tc>
                <w:tcPr>
                  <w:tcW w:type="dxa" w:w="3950"/>
                  <w:tcBorders>
                    <w:top w:val="single" w:color="C9D3DD" w:sz="6"/>
                    <w:left w:val="single" w:color="C9D3DD" w:sz="6"/>
                    <w:bottom w:val="single" w:color="C9D3DD" w:sz="6"/>
                    <w:right w:val="single" w:color="C9D3DD" w:sz="6"/>
                  </w:tcBorders>
                  <w:shd w:fill="EEF5FB"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Revenue cases (EUR)</w:t>
                  </w:r>
                </w:p>
              </w:tc>
            </w:tr>
            <w:tr>
              <w:tc>
                <w:tcPr>
                  <w:tcW w:type="dxa" w:w="4800"/>
                  <w:gridSpan w:val="2"/>
                  <w:tcBorders>
                    <w:top w:val="single" w:color="C9D3DD" w:sz="6"/>
                    <w:left w:val="single" w:color="C9D3DD" w:sz="6"/>
                    <w:bottom w:val="single" w:color="C9D3DD" w:sz="6"/>
                    <w:right w:val="single" w:color="C9D3DD" w:sz="6"/>
                  </w:tcBorders>
                  <w:shd w:fill="EEF5FB" w:val="clear"/>
                  <w:tcMar>
                    <w:top w:type="dxa" w:w="120"/>
                    <w:left w:type="dxa" w:w="140"/>
                    <w:bottom w:type="dxa" w:w="120"/>
                    <w:right w:type="dxa" w:w="140"/>
                  </w:tcMar>
                  <w:vAlign w:val="top"/>
                </w:tcPr>
                <w:tbl>
                  <w:tblPr>
                    <w:tblW w:type="dxa" w:w="4670"/>
                    <w:tblBorders>
                      <w:top w:val="single" w:color="auto" w:sz="4"/>
                      <w:left w:val="single" w:color="auto" w:sz="4"/>
                      <w:bottom w:val="single" w:color="auto" w:sz="4"/>
                      <w:right w:val="single" w:color="auto" w:sz="4"/>
                      <w:insideH w:val="single" w:color="auto" w:sz="4"/>
                      <w:insideV w:val="single" w:color="auto" w:sz="4"/>
                    </w:tblBorders>
                  </w:tblPr>
                  <w:tblGrid>
                    <w:gridCol w:w="880"/>
                    <w:gridCol w:w="980"/>
                    <w:gridCol w:w="980"/>
                    <w:gridCol w:w="980"/>
                    <w:gridCol w:w="850"/>
                  </w:tblGrid>
                  <w:tr>
                    <w:trPr>
                      <w:tblHeader/>
                    </w:trPr>
                    <w:tc>
                      <w:tcPr>
                        <w:tcW w:type="dxa" w:w="88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3"/>
                            <w:szCs w:val="13"/>
                          </w:rPr>
                          <w:t xml:space="preserve">Case</w:t>
                        </w:r>
                      </w:p>
                    </w:tc>
                    <w:tc>
                      <w:tcPr>
                        <w:tcW w:type="dxa" w:w="98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3"/>
                            <w:szCs w:val="13"/>
                          </w:rPr>
                          <w:t xml:space="preserve">2026</w:t>
                        </w:r>
                      </w:p>
                    </w:tc>
                    <w:tc>
                      <w:tcPr>
                        <w:tcW w:type="dxa" w:w="98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3"/>
                            <w:szCs w:val="13"/>
                          </w:rPr>
                          <w:t xml:space="preserve">2027</w:t>
                        </w:r>
                      </w:p>
                    </w:tc>
                    <w:tc>
                      <w:tcPr>
                        <w:tcW w:type="dxa" w:w="98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3"/>
                            <w:szCs w:val="13"/>
                          </w:rPr>
                          <w:t xml:space="preserve">2028</w:t>
                        </w:r>
                      </w:p>
                    </w:tc>
                    <w:tc>
                      <w:tcPr>
                        <w:tcW w:type="dxa" w:w="85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3"/>
                            <w:szCs w:val="13"/>
                          </w:rPr>
                          <w:t xml:space="preserve">CAGR</w:t>
                        </w:r>
                      </w:p>
                    </w:tc>
                  </w:tr>
                  <w:tr>
                    <w:tc>
                      <w:tcPr>
                        <w:tcW w:type="dxa" w:w="8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Proof</w:t>
                        </w:r>
                      </w:p>
                    </w:tc>
                    <w:tc>
                      <w:tcPr>
                        <w:tcW w:type="dxa" w:w="9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EUR 0.5m</w:t>
                        </w:r>
                      </w:p>
                    </w:tc>
                    <w:tc>
                      <w:tcPr>
                        <w:tcW w:type="dxa" w:w="9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EUR 1.5m</w:t>
                        </w:r>
                      </w:p>
                    </w:tc>
                    <w:tc>
                      <w:tcPr>
                        <w:tcW w:type="dxa" w:w="9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EUR 4.5m</w:t>
                        </w:r>
                      </w:p>
                    </w:tc>
                    <w:tc>
                      <w:tcPr>
                        <w:tcW w:type="dxa" w:w="8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200.0%</w:t>
                        </w:r>
                      </w:p>
                    </w:tc>
                  </w:tr>
                  <w:tr>
                    <w:tc>
                      <w:tcPr>
                        <w:tcW w:type="dxa" w:w="8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Expansion</w:t>
                        </w:r>
                      </w:p>
                    </w:tc>
                    <w:tc>
                      <w:tcPr>
                        <w:tcW w:type="dxa" w:w="9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EUR 2.5m</w:t>
                        </w:r>
                      </w:p>
                    </w:tc>
                    <w:tc>
                      <w:tcPr>
                        <w:tcW w:type="dxa" w:w="9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EUR 7.5m</w:t>
                        </w:r>
                      </w:p>
                    </w:tc>
                    <w:tc>
                      <w:tcPr>
                        <w:tcW w:type="dxa" w:w="9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EUR 22.5m</w:t>
                        </w:r>
                      </w:p>
                    </w:tc>
                    <w:tc>
                      <w:tcPr>
                        <w:tcW w:type="dxa" w:w="8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200.0%</w:t>
                        </w:r>
                      </w:p>
                    </w:tc>
                  </w:tr>
                  <w:tr>
                    <w:tc>
                      <w:tcPr>
                        <w:tcW w:type="dxa" w:w="8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Legacy high</w:t>
                        </w:r>
                      </w:p>
                    </w:tc>
                    <w:tc>
                      <w:tcPr>
                        <w:tcW w:type="dxa" w:w="9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EUR 8.606m</w:t>
                        </w:r>
                      </w:p>
                    </w:tc>
                    <w:tc>
                      <w:tcPr>
                        <w:tcW w:type="dxa" w:w="9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EUR 17.692m</w:t>
                        </w:r>
                      </w:p>
                    </w:tc>
                    <w:tc>
                      <w:tcPr>
                        <w:tcW w:type="dxa" w:w="9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EUR 34.752m</w:t>
                        </w:r>
                      </w:p>
                    </w:tc>
                    <w:tc>
                      <w:tcPr>
                        <w:tcW w:type="dxa" w:w="8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3"/>
                            <w:szCs w:val="13"/>
                          </w:rPr>
                          <w:t xml:space="preserve">101.0%</w:t>
                        </w:r>
                      </w:p>
                    </w:tc>
                  </w:tr>
                </w:tbl>
                <w:p>
                  <w:pPr>
                    <w:spacing w:after="60" w:before="0" w:line="240"/>
                    <w:jc w:val="left"/>
                  </w:pPr>
                  <w:r>
                    <w:rPr>
                      <w:rFonts w:ascii="Arial" w:cs="Arial" w:eastAsia="Arial" w:hAnsi="Arial"/>
                      <w:b w:val="false"/>
                      <w:bCs w:val="false"/>
                      <w:i w:val="false"/>
                      <w:iCs w:val="false"/>
                      <w:color w:val="595959"/>
                      <w:sz w:val="16"/>
                      <w:szCs w:val="16"/>
                    </w:rPr>
                    <w:t xml:space="preserve">Source: R1 02_HROI_Revenue_Cases; R2 legacy-high driver model.</w:t>
                  </w:r>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Scenario sizing replaces TAM theatre</w:t>
            </w:r>
          </w:p>
          <w:p>
            <w:pPr>
              <w:spacing w:after="80" w:before="0" w:line="240"/>
              <w:jc w:val="left"/>
            </w:pPr>
            <w:r>
              <w:rPr>
                <w:rFonts w:ascii="Arial" w:cs="Arial" w:eastAsia="Arial" w:hAnsi="Arial"/>
                <w:b w:val="false"/>
                <w:bCs w:val="false"/>
                <w:i w:val="false"/>
                <w:iCs w:val="false"/>
                <w:color w:val="222222"/>
                <w:sz w:val="18"/>
                <w:szCs w:val="18"/>
              </w:rPr>
              <w:t xml:space="preserve">The provided workbook does not include a quantified TAM/SAM/SOM table or an available-spend-by-customer-group table. For executive use, the model-backed market-sizing proxy is the staged revenue case architecture.</w:t>
            </w:r>
          </w:p>
          <w:p>
            <w:pPr>
              <w:spacing w:after="80" w:before="0" w:line="240"/>
              <w:jc w:val="left"/>
            </w:pPr>
            <w:r>
              <w:rPr>
                <w:rFonts w:ascii="Arial" w:cs="Arial" w:eastAsia="Arial" w:hAnsi="Arial"/>
                <w:b w:val="false"/>
                <w:bCs w:val="false"/>
                <w:i w:val="false"/>
                <w:iCs w:val="false"/>
                <w:color w:val="222222"/>
                <w:sz w:val="18"/>
                <w:szCs w:val="18"/>
              </w:rPr>
              <w:t xml:space="preserve">The latest overlay materially improves credibility by moving the original EUR 8.6m / EUR 17.7m / EUR 34.8m ramp out of the base case. The main deck should use the current revenue floor; the expansion ceiling can be shown as upside; the legacy high scenario belongs in appendix/diligence only.</w:t>
            </w:r>
          </w:p>
          <w:p>
            <w:pPr>
              <w:spacing w:after="80" w:before="0" w:line="240"/>
              <w:jc w:val="left"/>
            </w:pPr>
            <w:r>
              <w:rPr>
                <w:rFonts w:ascii="Arial" w:cs="Arial" w:eastAsia="Arial" w:hAnsi="Arial"/>
                <w:b w:val="false"/>
                <w:bCs w:val="false"/>
                <w:i w:val="false"/>
                <w:iCs w:val="false"/>
                <w:color w:val="222222"/>
                <w:sz w:val="18"/>
                <w:szCs w:val="18"/>
              </w:rPr>
              <w:t xml:space="preserve">Finetuning area: add a customer-group market-spend table by buyer tier, including annual budget pool, relevant spend category, addressable share, source, evidence state and conversion assumption.</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R3. Customer groups, product segmentation and pricing</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R3</w:t>
                  </w:r>
                </w:p>
              </w:tc>
              <w:tc>
                <w:tcPr>
                  <w:tcW w:type="dxa" w:w="3950"/>
                  <w:tcBorders>
                    <w:top w:val="single" w:color="C9D3DD" w:sz="6"/>
                    <w:left w:val="single" w:color="C9D3DD" w:sz="6"/>
                    <w:bottom w:val="single" w:color="C9D3DD" w:sz="6"/>
                    <w:right w:val="single" w:color="C9D3DD" w:sz="6"/>
                  </w:tcBorders>
                  <w:shd w:fill="E2F0D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Product revenue and pricing</w:t>
                  </w:r>
                </w:p>
              </w:tc>
            </w:tr>
            <w:tr>
              <w:tc>
                <w:tcPr>
                  <w:tcW w:type="dxa" w:w="4800"/>
                  <w:gridSpan w:val="2"/>
                  <w:tcBorders>
                    <w:top w:val="single" w:color="C9D3DD" w:sz="6"/>
                    <w:left w:val="single" w:color="C9D3DD" w:sz="6"/>
                    <w:bottom w:val="single" w:color="C9D3DD" w:sz="6"/>
                    <w:right w:val="single" w:color="C9D3DD" w:sz="6"/>
                  </w:tcBorders>
                  <w:shd w:fill="E2F0D9"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1550"/>
                    <w:gridCol w:w="3250"/>
                  </w:tblGrid>
                  <w:tr>
                    <w:trPr>
                      <w:tblHeader/>
                    </w:trPr>
                    <w:tc>
                      <w:tcPr>
                        <w:tcW w:type="dxa" w:w="1550"/>
                        <w:tcBorders>
                          <w:top w:val="single" w:color="C9D3DD" w:sz="6"/>
                          <w:left w:val="single" w:color="C9D3DD" w:sz="6"/>
                          <w:bottom w:val="single" w:color="C9D3DD" w:sz="6"/>
                          <w:right w:val="single" w:color="C9D3DD" w:sz="6"/>
                        </w:tcBorders>
                        <w:shd w:fill="70AD4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Segment</w:t>
                        </w:r>
                      </w:p>
                    </w:tc>
                    <w:tc>
                      <w:tcPr>
                        <w:tcW w:type="dxa" w:w="3250"/>
                        <w:tcBorders>
                          <w:top w:val="single" w:color="C9D3DD" w:sz="6"/>
                          <w:left w:val="single" w:color="C9D3DD" w:sz="6"/>
                          <w:bottom w:val="single" w:color="C9D3DD" w:sz="6"/>
                          <w:right w:val="single" w:color="C9D3DD" w:sz="6"/>
                        </w:tcBorders>
                        <w:shd w:fill="70AD4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Pricing / model</w:t>
                        </w:r>
                      </w:p>
                    </w:tc>
                  </w:tr>
                  <w:tr>
                    <w:tc>
                      <w:tcPr>
                        <w:tcW w:type="dxa" w:w="15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P1 Platform / Comility</w:t>
                        </w:r>
                      </w:p>
                    </w:tc>
                    <w:tc>
                      <w:tcPr>
                        <w:tcW w:type="dxa" w:w="32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Cadett EUR 100/year; Comrade EUR 2,400/year; Avantgarde EUR 20,000/year; add-ons and individual offering.</w:t>
                        </w:r>
                      </w:p>
                    </w:tc>
                  </w:tr>
                  <w:tr>
                    <w:tc>
                      <w:tcPr>
                        <w:tcW w:type="dxa" w:w="15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P2 Incubator / Defence Elevator</w:t>
                        </w:r>
                      </w:p>
                    </w:tc>
                    <w:tc>
                      <w:tcPr>
                        <w:tcW w:type="dxa" w:w="32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Strategic partnership / cohort slot at EUR 500k in the original driver model.</w:t>
                        </w:r>
                      </w:p>
                    </w:tc>
                  </w:tr>
                  <w:tr>
                    <w:tc>
                      <w:tcPr>
                        <w:tcW w:type="dxa" w:w="15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P3 Munich Security Breakfast</w:t>
                        </w:r>
                      </w:p>
                    </w:tc>
                    <w:tc>
                      <w:tcPr>
                        <w:tcW w:type="dxa" w:w="32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Sponsor, panel sponsor, table and ticket model; pricing steps up from 2027 for sponsors/tables.</w:t>
                        </w:r>
                      </w:p>
                    </w:tc>
                  </w:tr>
                  <w:tr>
                    <w:tc>
                      <w:tcPr>
                        <w:tcW w:type="dxa" w:w="15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P4 Resilience Houses</w:t>
                        </w:r>
                      </w:p>
                    </w:tc>
                    <w:tc>
                      <w:tcPr>
                        <w:tcW w:type="dxa" w:w="32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Monthly/annual location economics: Munich Werk1, Erding, Hamburg/London.</w:t>
                        </w:r>
                      </w:p>
                    </w:tc>
                  </w:tr>
                  <w:tr>
                    <w:tc>
                      <w:tcPr>
                        <w:tcW w:type="dxa" w:w="15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P5 Individual Packages</w:t>
                        </w:r>
                      </w:p>
                    </w:tc>
                    <w:tc>
                      <w:tcPr>
                        <w:tcW w:type="dxa" w:w="32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One-off startup tickets and corporate packages; transition/legacy line in the model.</w:t>
                        </w:r>
                      </w:p>
                    </w:tc>
                  </w:tr>
                </w:tbl>
                <w:p>
                  <w:pPr>
                    <w:spacing w:after="60" w:before="0" w:line="240"/>
                    <w:jc w:val="left"/>
                  </w:pPr>
                  <w:r>
                    <w:rPr>
                      <w:rFonts w:ascii="Arial" w:cs="Arial" w:eastAsia="Arial" w:hAnsi="Arial"/>
                      <w:b w:val="false"/>
                      <w:bCs w:val="false"/>
                      <w:i w:val="false"/>
                      <w:iCs w:val="false"/>
                      <w:color w:val="595959"/>
                      <w:sz w:val="16"/>
                      <w:szCs w:val="16"/>
                    </w:rPr>
                    <w:t xml:space="preserve">Source: R2 01b_Product_Drivers and source-map pricing labels ALT-P1 through ALT-P4.</w:t>
                  </w:r>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Product-led revenue architecture</w:t>
            </w:r>
          </w:p>
          <w:p>
            <w:pPr>
              <w:spacing w:after="80" w:before="0" w:line="240"/>
              <w:jc w:val="left"/>
            </w:pPr>
            <w:r>
              <w:rPr>
                <w:rFonts w:ascii="Arial" w:cs="Arial" w:eastAsia="Arial" w:hAnsi="Arial"/>
                <w:b w:val="false"/>
                <w:bCs w:val="false"/>
                <w:i w:val="false"/>
                <w:iCs w:val="false"/>
                <w:color w:val="222222"/>
                <w:sz w:val="18"/>
                <w:szCs w:val="18"/>
              </w:rPr>
              <w:t xml:space="preserve">The model is organized around five product/customer group proxies: P1 Platform / Comility, P2 Incubator / Defence Elevator, P3 Munich Security Breakfast, P4 Resilience Houses and P5 Individual Packages. Each line has a distinct monetization logic and evidence status.</w:t>
            </w:r>
          </w:p>
          <w:p>
            <w:pPr>
              <w:spacing w:after="80" w:before="0" w:line="240"/>
              <w:jc w:val="left"/>
            </w:pPr>
            <w:r>
              <w:rPr>
                <w:rFonts w:ascii="Arial" w:cs="Arial" w:eastAsia="Arial" w:hAnsi="Arial"/>
                <w:b w:val="false"/>
                <w:bCs w:val="false"/>
                <w:i w:val="false"/>
                <w:iCs w:val="false"/>
                <w:color w:val="222222"/>
                <w:sz w:val="18"/>
                <w:szCs w:val="18"/>
              </w:rPr>
              <w:t xml:space="preserve">P1 is the scalable subscription/add-on layer. P2 is the largest strategic program revenue driver. P3 is an event/sponsorship engine. P4 is location-based house economics. P5 is transitional one-off package revenue.</w:t>
            </w:r>
          </w:p>
          <w:p>
            <w:pPr>
              <w:spacing w:after="80" w:before="0" w:line="240"/>
              <w:jc w:val="left"/>
            </w:pPr>
            <w:r>
              <w:rPr>
                <w:rFonts w:ascii="Arial" w:cs="Arial" w:eastAsia="Arial" w:hAnsi="Arial"/>
                <w:b w:val="false"/>
                <w:bCs w:val="false"/>
                <w:i w:val="false"/>
                <w:iCs w:val="false"/>
                <w:color w:val="222222"/>
                <w:sz w:val="18"/>
                <w:szCs w:val="18"/>
              </w:rPr>
              <w:t xml:space="preserve">The customer-group layer is directionally useful but needs additional finetuning before external diligence: the workbook refers to restoring five buyer tiers, but does not quantify those tiers as customer groups with available annual spend.</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R4. Product sales and revenue ramp</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R4</w:t>
                  </w:r>
                </w:p>
              </w:tc>
              <w:tc>
                <w:tcPr>
                  <w:tcW w:type="dxa" w:w="3950"/>
                  <w:tcBorders>
                    <w:top w:val="single" w:color="C9D3DD" w:sz="6"/>
                    <w:left w:val="single" w:color="C9D3DD" w:sz="6"/>
                    <w:bottom w:val="single" w:color="C9D3DD" w:sz="6"/>
                    <w:right w:val="single" w:color="C9D3DD" w:sz="6"/>
                  </w:tcBorders>
                  <w:shd w:fill="EEF5FB"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2026 proof bridge and legacy revenue</w:t>
                  </w:r>
                </w:p>
              </w:tc>
            </w:tr>
            <w:tr>
              <w:tc>
                <w:tcPr>
                  <w:tcW w:type="dxa" w:w="4800"/>
                  <w:gridSpan w:val="2"/>
                  <w:tcBorders>
                    <w:top w:val="single" w:color="C9D3DD" w:sz="6"/>
                    <w:left w:val="single" w:color="C9D3DD" w:sz="6"/>
                    <w:bottom w:val="single" w:color="C9D3DD" w:sz="6"/>
                    <w:right w:val="single" w:color="C9D3DD" w:sz="6"/>
                  </w:tcBorders>
                  <w:shd w:fill="EEF5FB" w:val="clear"/>
                  <w:tcMar>
                    <w:top w:type="dxa" w:w="120"/>
                    <w:left w:type="dxa" w:w="140"/>
                    <w:bottom w:type="dxa" w:w="120"/>
                    <w:right w:type="dxa" w:w="140"/>
                  </w:tcMar>
                  <w:vAlign w:val="top"/>
                </w:tcPr>
                <w:tbl>
                  <w:tblPr>
                    <w:tblW w:type="dxa" w:w="4650"/>
                    <w:tblBorders>
                      <w:top w:val="single" w:color="auto" w:sz="4"/>
                      <w:left w:val="single" w:color="auto" w:sz="4"/>
                      <w:bottom w:val="single" w:color="auto" w:sz="4"/>
                      <w:right w:val="single" w:color="auto" w:sz="4"/>
                      <w:insideH w:val="single" w:color="auto" w:sz="4"/>
                      <w:insideV w:val="single" w:color="auto" w:sz="4"/>
                    </w:tblBorders>
                  </w:tblPr>
                  <w:tblGrid>
                    <w:gridCol w:w="2350"/>
                    <w:gridCol w:w="550"/>
                    <w:gridCol w:w="850"/>
                    <w:gridCol w:w="900"/>
                  </w:tblGrid>
                  <w:tr>
                    <w:trPr>
                      <w:tblHeader/>
                    </w:trPr>
                    <w:tc>
                      <w:tcPr>
                        <w:tcW w:type="dxa" w:w="2350"/>
                        <w:tcBorders>
                          <w:top w:val="single" w:color="C9D3DD" w:sz="6"/>
                          <w:left w:val="single" w:color="C9D3DD" w:sz="6"/>
                          <w:bottom w:val="single" w:color="C9D3DD" w:sz="6"/>
                          <w:right w:val="single" w:color="C9D3DD" w:sz="6"/>
                        </w:tcBorders>
                        <w:shd w:fill="5B9BD5"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2026 proof product</w:t>
                        </w:r>
                      </w:p>
                    </w:tc>
                    <w:tc>
                      <w:tcPr>
                        <w:tcW w:type="dxa" w:w="550"/>
                        <w:tcBorders>
                          <w:top w:val="single" w:color="C9D3DD" w:sz="6"/>
                          <w:left w:val="single" w:color="C9D3DD" w:sz="6"/>
                          <w:bottom w:val="single" w:color="C9D3DD" w:sz="6"/>
                          <w:right w:val="single" w:color="C9D3DD" w:sz="6"/>
                        </w:tcBorders>
                        <w:shd w:fill="5B9BD5"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Units</w:t>
                        </w:r>
                      </w:p>
                    </w:tc>
                    <w:tc>
                      <w:tcPr>
                        <w:tcW w:type="dxa" w:w="850"/>
                        <w:tcBorders>
                          <w:top w:val="single" w:color="C9D3DD" w:sz="6"/>
                          <w:left w:val="single" w:color="C9D3DD" w:sz="6"/>
                          <w:bottom w:val="single" w:color="C9D3DD" w:sz="6"/>
                          <w:right w:val="single" w:color="C9D3DD" w:sz="6"/>
                        </w:tcBorders>
                        <w:shd w:fill="5B9BD5"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Price</w:t>
                        </w:r>
                      </w:p>
                    </w:tc>
                    <w:tc>
                      <w:tcPr>
                        <w:tcW w:type="dxa" w:w="900"/>
                        <w:tcBorders>
                          <w:top w:val="single" w:color="C9D3DD" w:sz="6"/>
                          <w:left w:val="single" w:color="C9D3DD" w:sz="6"/>
                          <w:bottom w:val="single" w:color="C9D3DD" w:sz="6"/>
                          <w:right w:val="single" w:color="C9D3DD" w:sz="6"/>
                        </w:tcBorders>
                        <w:shd w:fill="5B9BD5"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Revenue</w:t>
                        </w:r>
                      </w:p>
                    </w:tc>
                  </w:tr>
                  <w:tr>
                    <w:tc>
                      <w:tcPr>
                        <w:tcW w:type="dxa" w:w="23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Intelligence Room / Watchdesk pilots</w:t>
                        </w:r>
                      </w:p>
                    </w:tc>
                    <w:tc>
                      <w:tcPr>
                        <w:tcW w:type="dxa" w:w="5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4</w:t>
                        </w:r>
                      </w:p>
                    </w:tc>
                    <w:tc>
                      <w:tcPr>
                        <w:tcW w:type="dxa" w:w="8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EUR 60k</w:t>
                        </w:r>
                      </w:p>
                    </w:tc>
                    <w:tc>
                      <w:tcPr>
                        <w:tcW w:type="dxa" w:w="9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EUR 240k</w:t>
                        </w:r>
                      </w:p>
                    </w:tc>
                  </w:tr>
                  <w:tr>
                    <w:tc>
                      <w:tcPr>
                        <w:tcW w:type="dxa" w:w="23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Diligence / opportunity sprints</w:t>
                        </w:r>
                      </w:p>
                    </w:tc>
                    <w:tc>
                      <w:tcPr>
                        <w:tcW w:type="dxa" w:w="5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4</w:t>
                        </w:r>
                      </w:p>
                    </w:tc>
                    <w:tc>
                      <w:tcPr>
                        <w:tcW w:type="dxa" w:w="8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EUR 30k</w:t>
                        </w:r>
                      </w:p>
                    </w:tc>
                    <w:tc>
                      <w:tcPr>
                        <w:tcW w:type="dxa" w:w="9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EUR 120k</w:t>
                        </w:r>
                      </w:p>
                    </w:tc>
                  </w:tr>
                  <w:tr>
                    <w:tc>
                      <w:tcPr>
                        <w:tcW w:type="dxa" w:w="23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Member knowledge / premium access</w:t>
                        </w:r>
                      </w:p>
                    </w:tc>
                    <w:tc>
                      <w:tcPr>
                        <w:tcW w:type="dxa" w:w="5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w:t>
                        </w:r>
                      </w:p>
                    </w:tc>
                    <w:tc>
                      <w:tcPr>
                        <w:tcW w:type="dxa" w:w="8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EUR 80k</w:t>
                        </w:r>
                      </w:p>
                    </w:tc>
                    <w:tc>
                      <w:tcPr>
                        <w:tcW w:type="dxa" w:w="9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EUR 80k</w:t>
                        </w:r>
                      </w:p>
                    </w:tc>
                  </w:tr>
                  <w:tr>
                    <w:tc>
                      <w:tcPr>
                        <w:tcW w:type="dxa" w:w="23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MSC/MSB Breakfast event revenue floor</w:t>
                        </w:r>
                      </w:p>
                    </w:tc>
                    <w:tc>
                      <w:tcPr>
                        <w:tcW w:type="dxa" w:w="5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w:t>
                        </w:r>
                      </w:p>
                    </w:tc>
                    <w:tc>
                      <w:tcPr>
                        <w:tcW w:type="dxa" w:w="8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EUR 60k</w:t>
                        </w:r>
                      </w:p>
                    </w:tc>
                    <w:tc>
                      <w:tcPr>
                        <w:tcW w:type="dxa" w:w="9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EUR 60k</w:t>
                        </w:r>
                      </w:p>
                    </w:tc>
                  </w:tr>
                  <w:tr>
                    <w:tc>
                      <w:tcPr>
                        <w:tcW w:type="dxa" w:w="23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Current revenue floor total</w:t>
                        </w:r>
                      </w:p>
                    </w:tc>
                    <w:tc>
                      <w:tcPr>
                        <w:tcW w:type="dxa" w:w="5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
                        </w:r>
                      </w:p>
                    </w:tc>
                    <w:tc>
                      <w:tcPr>
                        <w:tcW w:type="dxa" w:w="8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
                        </w:r>
                      </w:p>
                    </w:tc>
                    <w:tc>
                      <w:tcPr>
                        <w:tcW w:type="dxa" w:w="9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EUR 500k</w:t>
                        </w:r>
                      </w:p>
                    </w:tc>
                  </w:tr>
                </w:tbl>
                <w:p>
                  <w:pPr>
                    <w:spacing w:after="60" w:before="0" w:line="240"/>
                    <w:jc w:val="left"/>
                  </w:pPr>
                  <w:r>
                    <w:rPr>
                      <w:rFonts w:ascii="Arial" w:cs="Arial" w:eastAsia="Arial" w:hAnsi="Arial"/>
                      <w:b w:val="false"/>
                      <w:bCs w:val="false"/>
                      <w:i w:val="false"/>
                      <w:iCs w:val="false"/>
                      <w:color w:val="595959"/>
                      <w:sz w:val="16"/>
                      <w:szCs w:val="16"/>
                    </w:rPr>
                    <w:t xml:space="preserve">Underlying legacy-high annual revenue by product, EUR m:</w:t>
                  </w:r>
                </w:p>
                <w:tbl>
                  <w:tblPr>
                    <w:tblW w:type="dxa" w:w="5000"/>
                    <w:tblBorders>
                      <w:top w:val="single" w:color="auto" w:sz="4"/>
                      <w:left w:val="single" w:color="auto" w:sz="4"/>
                      <w:bottom w:val="single" w:color="auto" w:sz="4"/>
                      <w:right w:val="single" w:color="auto" w:sz="4"/>
                      <w:insideH w:val="single" w:color="auto" w:sz="4"/>
                      <w:insideV w:val="single" w:color="auto" w:sz="4"/>
                    </w:tblBorders>
                  </w:tblPr>
                  <w:tblGrid>
                    <w:gridCol w:w="1900"/>
                    <w:gridCol w:w="750"/>
                    <w:gridCol w:w="750"/>
                    <w:gridCol w:w="750"/>
                    <w:gridCol w:w="850"/>
                  </w:tblGrid>
                  <w:tr>
                    <w:trPr>
                      <w:tblHeader/>
                    </w:trPr>
                    <w:tc>
                      <w:tcPr>
                        <w:tcW w:type="dxa" w:w="190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Product line</w:t>
                        </w:r>
                      </w:p>
                    </w:tc>
                    <w:tc>
                      <w:tcPr>
                        <w:tcW w:type="dxa" w:w="75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2026</w:t>
                        </w:r>
                      </w:p>
                    </w:tc>
                    <w:tc>
                      <w:tcPr>
                        <w:tcW w:type="dxa" w:w="75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2027</w:t>
                        </w:r>
                      </w:p>
                    </w:tc>
                    <w:tc>
                      <w:tcPr>
                        <w:tcW w:type="dxa" w:w="75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2028</w:t>
                        </w:r>
                      </w:p>
                    </w:tc>
                    <w:tc>
                      <w:tcPr>
                        <w:tcW w:type="dxa" w:w="85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26-28 CAGR</w:t>
                        </w:r>
                      </w:p>
                    </w:tc>
                  </w:tr>
                  <w:tr>
                    <w:tc>
                      <w:tcPr>
                        <w:tcW w:type="dxa" w:w="19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P1 Platform / Comility</w:t>
                        </w:r>
                      </w:p>
                    </w:tc>
                    <w:tc>
                      <w:tcPr>
                        <w:tcW w:type="dxa" w:w="7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1.950</w:t>
                        </w:r>
                      </w:p>
                    </w:tc>
                    <w:tc>
                      <w:tcPr>
                        <w:tcW w:type="dxa" w:w="7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4.280</w:t>
                        </w:r>
                      </w:p>
                    </w:tc>
                    <w:tc>
                      <w:tcPr>
                        <w:tcW w:type="dxa" w:w="7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21.340</w:t>
                        </w:r>
                      </w:p>
                    </w:tc>
                    <w:tc>
                      <w:tcPr>
                        <w:tcW w:type="dxa" w:w="8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230.8%</w:t>
                        </w:r>
                      </w:p>
                    </w:tc>
                  </w:tr>
                  <w:tr>
                    <w:tc>
                      <w:tcPr>
                        <w:tcW w:type="dxa" w:w="19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P2 Incubator / Defence Elevator</w:t>
                        </w:r>
                      </w:p>
                    </w:tc>
                    <w:tc>
                      <w:tcPr>
                        <w:tcW w:type="dxa" w:w="7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6.000</w:t>
                        </w:r>
                      </w:p>
                    </w:tc>
                    <w:tc>
                      <w:tcPr>
                        <w:tcW w:type="dxa" w:w="7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12.000</w:t>
                        </w:r>
                      </w:p>
                    </w:tc>
                    <w:tc>
                      <w:tcPr>
                        <w:tcW w:type="dxa" w:w="7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12.000</w:t>
                        </w:r>
                      </w:p>
                    </w:tc>
                    <w:tc>
                      <w:tcPr>
                        <w:tcW w:type="dxa" w:w="8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41.4%</w:t>
                        </w:r>
                      </w:p>
                    </w:tc>
                  </w:tr>
                  <w:tr>
                    <w:tc>
                      <w:tcPr>
                        <w:tcW w:type="dxa" w:w="19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P3 Munich Security Breakfast</w:t>
                        </w:r>
                      </w:p>
                    </w:tc>
                    <w:tc>
                      <w:tcPr>
                        <w:tcW w:type="dxa" w:w="7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0.410</w:t>
                        </w:r>
                      </w:p>
                    </w:tc>
                    <w:tc>
                      <w:tcPr>
                        <w:tcW w:type="dxa" w:w="7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0.500</w:t>
                        </w:r>
                      </w:p>
                    </w:tc>
                    <w:tc>
                      <w:tcPr>
                        <w:tcW w:type="dxa" w:w="7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0.500</w:t>
                        </w:r>
                      </w:p>
                    </w:tc>
                    <w:tc>
                      <w:tcPr>
                        <w:tcW w:type="dxa" w:w="8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10.4%</w:t>
                        </w:r>
                      </w:p>
                    </w:tc>
                  </w:tr>
                  <w:tr>
                    <w:tc>
                      <w:tcPr>
                        <w:tcW w:type="dxa" w:w="19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P4 Resilience Houses</w:t>
                        </w:r>
                      </w:p>
                    </w:tc>
                    <w:tc>
                      <w:tcPr>
                        <w:tcW w:type="dxa" w:w="7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0.246</w:t>
                        </w:r>
                      </w:p>
                    </w:tc>
                    <w:tc>
                      <w:tcPr>
                        <w:tcW w:type="dxa" w:w="7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0.912</w:t>
                        </w:r>
                      </w:p>
                    </w:tc>
                    <w:tc>
                      <w:tcPr>
                        <w:tcW w:type="dxa" w:w="7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0.912</w:t>
                        </w:r>
                      </w:p>
                    </w:tc>
                    <w:tc>
                      <w:tcPr>
                        <w:tcW w:type="dxa" w:w="8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92.5%</w:t>
                        </w:r>
                      </w:p>
                    </w:tc>
                  </w:tr>
                  <w:tr>
                    <w:tc>
                      <w:tcPr>
                        <w:tcW w:type="dxa" w:w="19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Total legacy-high revenue</w:t>
                        </w:r>
                      </w:p>
                    </w:tc>
                    <w:tc>
                      <w:tcPr>
                        <w:tcW w:type="dxa" w:w="7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8.606</w:t>
                        </w:r>
                      </w:p>
                    </w:tc>
                    <w:tc>
                      <w:tcPr>
                        <w:tcW w:type="dxa" w:w="7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17.692</w:t>
                        </w:r>
                      </w:p>
                    </w:tc>
                    <w:tc>
                      <w:tcPr>
                        <w:tcW w:type="dxa" w:w="7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34.752</w:t>
                        </w:r>
                      </w:p>
                    </w:tc>
                    <w:tc>
                      <w:tcPr>
                        <w:tcW w:type="dxa" w:w="8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101.0%</w:t>
                        </w:r>
                      </w:p>
                    </w:tc>
                  </w:tr>
                </w:tbl>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Units x price x revenue logic</w:t>
            </w:r>
          </w:p>
          <w:p>
            <w:pPr>
              <w:spacing w:after="80" w:before="0" w:line="240"/>
              <w:jc w:val="left"/>
            </w:pPr>
            <w:r>
              <w:rPr>
                <w:rFonts w:ascii="Arial" w:cs="Arial" w:eastAsia="Arial" w:hAnsi="Arial"/>
                <w:b w:val="false"/>
                <w:bCs w:val="false"/>
                <w:i w:val="false"/>
                <w:iCs w:val="false"/>
                <w:color w:val="222222"/>
                <w:sz w:val="18"/>
                <w:szCs w:val="18"/>
              </w:rPr>
              <w:t xml:space="preserve">The cleanest investor-facing unit bridge is the 26_0507 current revenue floor: four Intelligence Room / Watchdesk pilots, four diligence or opportunity sprints, one member/premium access package and one MSB/event intelligence package, totaling EUR 500k in 2026.</w:t>
            </w:r>
          </w:p>
          <w:p>
            <w:pPr>
              <w:spacing w:after="80" w:before="0" w:line="240"/>
              <w:jc w:val="left"/>
            </w:pPr>
            <w:r>
              <w:rPr>
                <w:rFonts w:ascii="Arial" w:cs="Arial" w:eastAsia="Arial" w:hAnsi="Arial"/>
                <w:b w:val="false"/>
                <w:bCs w:val="false"/>
                <w:i w:val="false"/>
                <w:iCs w:val="false"/>
                <w:color w:val="222222"/>
                <w:sz w:val="18"/>
                <w:szCs w:val="18"/>
              </w:rPr>
              <w:t xml:space="preserve">The original 26_0504 product model remains useful as the operating architecture for upside, but not as the first-send base. In that version, P2 and P1 drive most of the ramp. P2 jumps to 12 strategic programs in 2026 and 24 in 2027/2028; P1 reaches 6,220 average paid licences by 2028.</w:t>
            </w:r>
          </w:p>
          <w:p>
            <w:pPr>
              <w:spacing w:after="80" w:before="0" w:line="240"/>
              <w:jc w:val="left"/>
            </w:pPr>
            <w:r>
              <w:rPr>
                <w:rFonts w:ascii="Arial" w:cs="Arial" w:eastAsia="Arial" w:hAnsi="Arial"/>
                <w:b w:val="false"/>
                <w:bCs w:val="false"/>
                <w:i w:val="false"/>
                <w:iCs w:val="false"/>
                <w:color w:val="222222"/>
                <w:sz w:val="18"/>
                <w:szCs w:val="18"/>
              </w:rPr>
              <w:t xml:space="preserve">Investor treatment: use the proof bridge as the base case, the EUR 2.5m 2026 expansion total as upside and the legacy EUR 8.6m 2026 scenario only as diligence appendix architecture.</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R5. Growth KPIs and gross margin</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R5</w:t>
                  </w:r>
                </w:p>
              </w:tc>
              <w:tc>
                <w:tcPr>
                  <w:tcW w:type="dxa" w:w="3950"/>
                  <w:tcBorders>
                    <w:top w:val="single" w:color="C9D3DD" w:sz="6"/>
                    <w:left w:val="single" w:color="C9D3DD" w:sz="6"/>
                    <w:bottom w:val="single" w:color="C9D3DD" w:sz="6"/>
                    <w:right w:val="single" w:color="C9D3DD" w:sz="6"/>
                  </w:tcBorders>
                  <w:shd w:fill="E2F0D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Operating KPIs and margin</w:t>
                  </w:r>
                </w:p>
              </w:tc>
            </w:tr>
            <w:tr>
              <w:tc>
                <w:tcPr>
                  <w:tcW w:type="dxa" w:w="4800"/>
                  <w:gridSpan w:val="2"/>
                  <w:tcBorders>
                    <w:top w:val="single" w:color="C9D3DD" w:sz="6"/>
                    <w:left w:val="single" w:color="C9D3DD" w:sz="6"/>
                    <w:bottom w:val="single" w:color="C9D3DD" w:sz="6"/>
                    <w:right w:val="single" w:color="C9D3DD" w:sz="6"/>
                  </w:tcBorders>
                  <w:shd w:fill="E2F0D9"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1800"/>
                    <w:gridCol w:w="740"/>
                    <w:gridCol w:w="740"/>
                    <w:gridCol w:w="740"/>
                    <w:gridCol w:w="780"/>
                  </w:tblGrid>
                  <w:tr>
                    <w:trPr>
                      <w:tblHeader/>
                    </w:trPr>
                    <w:tc>
                      <w:tcPr>
                        <w:tcW w:type="dxa" w:w="180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KPI</w:t>
                        </w:r>
                      </w:p>
                    </w:tc>
                    <w:tc>
                      <w:tcPr>
                        <w:tcW w:type="dxa" w:w="74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2025</w:t>
                        </w:r>
                      </w:p>
                    </w:tc>
                    <w:tc>
                      <w:tcPr>
                        <w:tcW w:type="dxa" w:w="74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2026</w:t>
                        </w:r>
                      </w:p>
                    </w:tc>
                    <w:tc>
                      <w:tcPr>
                        <w:tcW w:type="dxa" w:w="74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2027</w:t>
                        </w:r>
                      </w:p>
                    </w:tc>
                    <w:tc>
                      <w:tcPr>
                        <w:tcW w:type="dxa" w:w="780"/>
                        <w:tcBorders>
                          <w:top w:val="single" w:color="C9D3DD" w:sz="6"/>
                          <w:left w:val="single" w:color="C9D3DD" w:sz="6"/>
                          <w:bottom w:val="single" w:color="C9D3DD" w:sz="6"/>
                          <w:right w:val="single" w:color="C9D3DD" w:sz="6"/>
                        </w:tcBorders>
                        <w:shd w:fill="1F4E79"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2028</w:t>
                        </w:r>
                      </w:p>
                    </w:tc>
                  </w:tr>
                  <w:tr>
                    <w:tc>
                      <w:tcPr>
                        <w:tcW w:type="dxa" w:w="1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P1 avg paid licences</w:t>
                        </w:r>
                      </w:p>
                    </w:tc>
                    <w:tc>
                      <w:tcPr>
                        <w:tcW w:type="dxa" w:w="74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1,070</w:t>
                        </w:r>
                      </w:p>
                    </w:tc>
                    <w:tc>
                      <w:tcPr>
                        <w:tcW w:type="dxa" w:w="74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2,525</w:t>
                        </w:r>
                      </w:p>
                    </w:tc>
                    <w:tc>
                      <w:tcPr>
                        <w:tcW w:type="dxa" w:w="74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3,680</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6,220</w:t>
                        </w:r>
                      </w:p>
                    </w:tc>
                  </w:tr>
                  <w:tr>
                    <w:tc>
                      <w:tcPr>
                        <w:tcW w:type="dxa" w:w="18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P1 new paid customers</w:t>
                        </w:r>
                      </w:p>
                    </w:tc>
                    <w:tc>
                      <w:tcPr>
                        <w:tcW w:type="dxa" w:w="74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1,070</w:t>
                        </w:r>
                      </w:p>
                    </w:tc>
                    <w:tc>
                      <w:tcPr>
                        <w:tcW w:type="dxa" w:w="74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1,555</w:t>
                        </w:r>
                      </w:p>
                    </w:tc>
                    <w:tc>
                      <w:tcPr>
                        <w:tcW w:type="dxa" w:w="74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1,155</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2,540</w:t>
                        </w:r>
                      </w:p>
                    </w:tc>
                  </w:tr>
                  <w:tr>
                    <w:tc>
                      <w:tcPr>
                        <w:tcW w:type="dxa" w:w="1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P2 programs / year</w:t>
                        </w:r>
                      </w:p>
                    </w:tc>
                    <w:tc>
                      <w:tcPr>
                        <w:tcW w:type="dxa" w:w="74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w:t>
                        </w:r>
                      </w:p>
                    </w:tc>
                    <w:tc>
                      <w:tcPr>
                        <w:tcW w:type="dxa" w:w="74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12</w:t>
                        </w:r>
                      </w:p>
                    </w:tc>
                    <w:tc>
                      <w:tcPr>
                        <w:tcW w:type="dxa" w:w="74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24</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24</w:t>
                        </w:r>
                      </w:p>
                    </w:tc>
                  </w:tr>
                  <w:tr>
                    <w:tc>
                      <w:tcPr>
                        <w:tcW w:type="dxa" w:w="18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P4 active locations</w:t>
                        </w:r>
                      </w:p>
                    </w:tc>
                    <w:tc>
                      <w:tcPr>
                        <w:tcW w:type="dxa" w:w="74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w:t>
                        </w:r>
                      </w:p>
                    </w:tc>
                    <w:tc>
                      <w:tcPr>
                        <w:tcW w:type="dxa" w:w="74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w:t>
                        </w:r>
                      </w:p>
                    </w:tc>
                    <w:tc>
                      <w:tcPr>
                        <w:tcW w:type="dxa" w:w="74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3</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3</w:t>
                        </w:r>
                      </w:p>
                    </w:tc>
                  </w:tr>
                </w:tbl>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1650"/>
                    <w:gridCol w:w="780"/>
                    <w:gridCol w:w="780"/>
                    <w:gridCol w:w="780"/>
                    <w:gridCol w:w="810"/>
                  </w:tblGrid>
                  <w:tr>
                    <w:trPr>
                      <w:tblHeader/>
                    </w:trPr>
                    <w:tc>
                      <w:tcPr>
                        <w:tcW w:type="dxa" w:w="1650"/>
                        <w:tcBorders>
                          <w:top w:val="single" w:color="C9D3DD" w:sz="6"/>
                          <w:left w:val="single" w:color="C9D3DD" w:sz="6"/>
                          <w:bottom w:val="single" w:color="C9D3DD" w:sz="6"/>
                          <w:right w:val="single" w:color="C9D3DD" w:sz="6"/>
                        </w:tcBorders>
                        <w:shd w:fill="70AD4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Metric</w:t>
                        </w:r>
                      </w:p>
                    </w:tc>
                    <w:tc>
                      <w:tcPr>
                        <w:tcW w:type="dxa" w:w="780"/>
                        <w:tcBorders>
                          <w:top w:val="single" w:color="C9D3DD" w:sz="6"/>
                          <w:left w:val="single" w:color="C9D3DD" w:sz="6"/>
                          <w:bottom w:val="single" w:color="C9D3DD" w:sz="6"/>
                          <w:right w:val="single" w:color="C9D3DD" w:sz="6"/>
                        </w:tcBorders>
                        <w:shd w:fill="70AD4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2025</w:t>
                        </w:r>
                      </w:p>
                    </w:tc>
                    <w:tc>
                      <w:tcPr>
                        <w:tcW w:type="dxa" w:w="780"/>
                        <w:tcBorders>
                          <w:top w:val="single" w:color="C9D3DD" w:sz="6"/>
                          <w:left w:val="single" w:color="C9D3DD" w:sz="6"/>
                          <w:bottom w:val="single" w:color="C9D3DD" w:sz="6"/>
                          <w:right w:val="single" w:color="C9D3DD" w:sz="6"/>
                        </w:tcBorders>
                        <w:shd w:fill="70AD4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2026</w:t>
                        </w:r>
                      </w:p>
                    </w:tc>
                    <w:tc>
                      <w:tcPr>
                        <w:tcW w:type="dxa" w:w="780"/>
                        <w:tcBorders>
                          <w:top w:val="single" w:color="C9D3DD" w:sz="6"/>
                          <w:left w:val="single" w:color="C9D3DD" w:sz="6"/>
                          <w:bottom w:val="single" w:color="C9D3DD" w:sz="6"/>
                          <w:right w:val="single" w:color="C9D3DD" w:sz="6"/>
                        </w:tcBorders>
                        <w:shd w:fill="70AD4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2027</w:t>
                        </w:r>
                      </w:p>
                    </w:tc>
                    <w:tc>
                      <w:tcPr>
                        <w:tcW w:type="dxa" w:w="810"/>
                        <w:tcBorders>
                          <w:top w:val="single" w:color="C9D3DD" w:sz="6"/>
                          <w:left w:val="single" w:color="C9D3DD" w:sz="6"/>
                          <w:bottom w:val="single" w:color="C9D3DD" w:sz="6"/>
                          <w:right w:val="single" w:color="C9D3DD" w:sz="6"/>
                        </w:tcBorders>
                        <w:shd w:fill="70AD4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2028</w:t>
                        </w:r>
                      </w:p>
                    </w:tc>
                  </w:tr>
                  <w:tr>
                    <w:tc>
                      <w:tcPr>
                        <w:tcW w:type="dxa" w:w="16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Product revenue</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0.750</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8.606</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17.692</w:t>
                        </w:r>
                      </w:p>
                    </w:tc>
                    <w:tc>
                      <w:tcPr>
                        <w:tcW w:type="dxa" w:w="81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34.752</w:t>
                        </w:r>
                      </w:p>
                    </w:tc>
                  </w:tr>
                  <w:tr>
                    <w:tc>
                      <w:tcPr>
                        <w:tcW w:type="dxa" w:w="16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Gross profit</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0.497</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1.092</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3.739</w:t>
                        </w:r>
                      </w:p>
                    </w:tc>
                    <w:tc>
                      <w:tcPr>
                        <w:tcW w:type="dxa" w:w="81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20.768</w:t>
                        </w:r>
                      </w:p>
                    </w:tc>
                  </w:tr>
                  <w:tr>
                    <w:tc>
                      <w:tcPr>
                        <w:tcW w:type="dxa" w:w="16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Gross margin</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66.2%</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12.7%</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21.1%</w:t>
                        </w:r>
                      </w:p>
                    </w:tc>
                    <w:tc>
                      <w:tcPr>
                        <w:tcW w:type="dxa" w:w="81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59.8%</w:t>
                        </w:r>
                      </w:p>
                    </w:tc>
                  </w:tr>
                </w:tbl>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Growth KPIs are volume and validation metrics</w:t>
            </w:r>
          </w:p>
          <w:p>
            <w:pPr>
              <w:spacing w:after="80" w:before="0" w:line="240"/>
              <w:jc w:val="left"/>
            </w:pPr>
            <w:r>
              <w:rPr>
                <w:rFonts w:ascii="Arial" w:cs="Arial" w:eastAsia="Arial" w:hAnsi="Arial"/>
                <w:b w:val="false"/>
                <w:bCs w:val="false"/>
                <w:i w:val="false"/>
                <w:iCs w:val="false"/>
                <w:color w:val="222222"/>
                <w:sz w:val="18"/>
                <w:szCs w:val="18"/>
              </w:rPr>
              <w:t xml:space="preserve">The model tracks customer/unit volumes by major product line, not only headline revenue. Key operating KPIs include P1 paid licences, P1 new paid customers, P2 strategic programs per year and P4 active house locations.</w:t>
            </w:r>
          </w:p>
          <w:p>
            <w:pPr>
              <w:spacing w:after="80" w:before="0" w:line="240"/>
              <w:jc w:val="left"/>
            </w:pPr>
            <w:r>
              <w:rPr>
                <w:rFonts w:ascii="Arial" w:cs="Arial" w:eastAsia="Arial" w:hAnsi="Arial"/>
                <w:b w:val="false"/>
                <w:bCs w:val="false"/>
                <w:i w:val="false"/>
                <w:iCs w:val="false"/>
                <w:color w:val="222222"/>
                <w:sz w:val="18"/>
                <w:szCs w:val="18"/>
              </w:rPr>
              <w:t xml:space="preserve">The 26_0504 legacy-high model shows product revenue growing from EUR 0.75m in 2025 to EUR 34.75m in 2028. Gross margin compresses sharply in 2026 and then expands to 59.8% by 2028 as revenue scales faster than direct cost. The latest overlay separately sets proof/expansion package margin targets around 50%-70%, with Watchdesk/Intelligence Room targets moving toward 70%+ by year 2.</w:t>
            </w:r>
          </w:p>
          <w:p>
            <w:pPr>
              <w:spacing w:after="80" w:before="0" w:line="240"/>
              <w:jc w:val="left"/>
            </w:pPr>
            <w:r>
              <w:rPr>
                <w:rFonts w:ascii="Arial" w:cs="Arial" w:eastAsia="Arial" w:hAnsi="Arial"/>
                <w:b w:val="false"/>
                <w:bCs w:val="false"/>
                <w:i w:val="false"/>
                <w:iCs w:val="false"/>
                <w:color w:val="222222"/>
                <w:sz w:val="18"/>
                <w:szCs w:val="18"/>
              </w:rPr>
              <w:t xml:space="preserve">Finetuning area: convert gross margin targets into a delivery proof tracker with actual delivery hours, direct cost, gross profit, variance and lesson learned by package.</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R6. Opex, SG&amp;A and correlation to revenue ramp</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R6</w:t>
                  </w:r>
                </w:p>
              </w:tc>
              <w:tc>
                <w:tcPr>
                  <w:tcW w:type="dxa" w:w="3950"/>
                  <w:tcBorders>
                    <w:top w:val="single" w:color="C9D3DD" w:sz="6"/>
                    <w:left w:val="single" w:color="C9D3DD" w:sz="6"/>
                    <w:bottom w:val="single" w:color="C9D3DD" w:sz="6"/>
                    <w:right w:val="single" w:color="C9D3DD" w:sz="6"/>
                  </w:tcBorders>
                  <w:shd w:fill="EADCF8"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Cost ramp (EUR m)</w:t>
                  </w:r>
                </w:p>
              </w:tc>
            </w:tr>
            <w:tr>
              <w:tc>
                <w:tcPr>
                  <w:tcW w:type="dxa" w:w="4800"/>
                  <w:gridSpan w:val="2"/>
                  <w:tcBorders>
                    <w:top w:val="single" w:color="C9D3DD" w:sz="6"/>
                    <w:left w:val="single" w:color="C9D3DD" w:sz="6"/>
                    <w:bottom w:val="single" w:color="C9D3DD" w:sz="6"/>
                    <w:right w:val="single" w:color="C9D3DD" w:sz="6"/>
                  </w:tcBorders>
                  <w:shd w:fill="EADCF8"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1700"/>
                    <w:gridCol w:w="800"/>
                    <w:gridCol w:w="800"/>
                    <w:gridCol w:w="800"/>
                    <w:gridCol w:w="700"/>
                  </w:tblGrid>
                  <w:tr>
                    <w:trPr>
                      <w:tblHeader/>
                    </w:trPr>
                    <w:tc>
                      <w:tcPr>
                        <w:tcW w:type="dxa" w:w="1700"/>
                        <w:tcBorders>
                          <w:top w:val="single" w:color="C9D3DD" w:sz="6"/>
                          <w:left w:val="single" w:color="C9D3DD" w:sz="6"/>
                          <w:bottom w:val="single" w:color="C9D3DD" w:sz="6"/>
                          <w:right w:val="single" w:color="C9D3DD" w:sz="6"/>
                        </w:tcBorders>
                        <w:shd w:fill="8064A2"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Cost category</w:t>
                        </w:r>
                      </w:p>
                    </w:tc>
                    <w:tc>
                      <w:tcPr>
                        <w:tcW w:type="dxa" w:w="800"/>
                        <w:tcBorders>
                          <w:top w:val="single" w:color="C9D3DD" w:sz="6"/>
                          <w:left w:val="single" w:color="C9D3DD" w:sz="6"/>
                          <w:bottom w:val="single" w:color="C9D3DD" w:sz="6"/>
                          <w:right w:val="single" w:color="C9D3DD" w:sz="6"/>
                        </w:tcBorders>
                        <w:shd w:fill="8064A2"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2026</w:t>
                        </w:r>
                      </w:p>
                    </w:tc>
                    <w:tc>
                      <w:tcPr>
                        <w:tcW w:type="dxa" w:w="800"/>
                        <w:tcBorders>
                          <w:top w:val="single" w:color="C9D3DD" w:sz="6"/>
                          <w:left w:val="single" w:color="C9D3DD" w:sz="6"/>
                          <w:bottom w:val="single" w:color="C9D3DD" w:sz="6"/>
                          <w:right w:val="single" w:color="C9D3DD" w:sz="6"/>
                        </w:tcBorders>
                        <w:shd w:fill="8064A2"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2027</w:t>
                        </w:r>
                      </w:p>
                    </w:tc>
                    <w:tc>
                      <w:tcPr>
                        <w:tcW w:type="dxa" w:w="800"/>
                        <w:tcBorders>
                          <w:top w:val="single" w:color="C9D3DD" w:sz="6"/>
                          <w:left w:val="single" w:color="C9D3DD" w:sz="6"/>
                          <w:bottom w:val="single" w:color="C9D3DD" w:sz="6"/>
                          <w:right w:val="single" w:color="C9D3DD" w:sz="6"/>
                        </w:tcBorders>
                        <w:shd w:fill="8064A2"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2028</w:t>
                        </w:r>
                      </w:p>
                    </w:tc>
                    <w:tc>
                      <w:tcPr>
                        <w:tcW w:type="dxa" w:w="700"/>
                        <w:tcBorders>
                          <w:top w:val="single" w:color="C9D3DD" w:sz="6"/>
                          <w:left w:val="single" w:color="C9D3DD" w:sz="6"/>
                          <w:bottom w:val="single" w:color="C9D3DD" w:sz="6"/>
                          <w:right w:val="single" w:color="C9D3DD" w:sz="6"/>
                        </w:tcBorders>
                        <w:shd w:fill="8064A2"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Rev corr.</w:t>
                        </w:r>
                      </w:p>
                    </w:tc>
                  </w:tr>
                  <w:tr>
                    <w:tc>
                      <w:tcPr>
                        <w:tcW w:type="dxa" w:w="1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Product costs</w:t>
                        </w:r>
                      </w:p>
                    </w:tc>
                    <w:tc>
                      <w:tcPr>
                        <w:tcW w:type="dxa" w:w="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7.514</w:t>
                        </w:r>
                      </w:p>
                    </w:tc>
                    <w:tc>
                      <w:tcPr>
                        <w:tcW w:type="dxa" w:w="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13.953</w:t>
                        </w:r>
                      </w:p>
                    </w:tc>
                    <w:tc>
                      <w:tcPr>
                        <w:tcW w:type="dxa" w:w="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13.984</w:t>
                        </w:r>
                      </w:p>
                    </w:tc>
                    <w:tc>
                      <w:tcPr>
                        <w:tcW w:type="dxa" w:w="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0.86</w:t>
                        </w:r>
                      </w:p>
                    </w:tc>
                  </w:tr>
                  <w:tr>
                    <w:tc>
                      <w:tcPr>
                        <w:tcW w:type="dxa" w:w="17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Operating costs</w:t>
                        </w:r>
                      </w:p>
                    </w:tc>
                    <w:tc>
                      <w:tcPr>
                        <w:tcW w:type="dxa" w:w="8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0.591</w:t>
                        </w:r>
                      </w:p>
                    </w:tc>
                    <w:tc>
                      <w:tcPr>
                        <w:tcW w:type="dxa" w:w="8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0.720</w:t>
                        </w:r>
                      </w:p>
                    </w:tc>
                    <w:tc>
                      <w:tcPr>
                        <w:tcW w:type="dxa" w:w="8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0.732</w:t>
                        </w:r>
                      </w:p>
                    </w:tc>
                    <w:tc>
                      <w:tcPr>
                        <w:tcW w:type="dxa" w:w="7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0.81</w:t>
                        </w:r>
                      </w:p>
                    </w:tc>
                  </w:tr>
                  <w:tr>
                    <w:tc>
                      <w:tcPr>
                        <w:tcW w:type="dxa" w:w="1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Personnel costs</w:t>
                        </w:r>
                      </w:p>
                    </w:tc>
                    <w:tc>
                      <w:tcPr>
                        <w:tcW w:type="dxa" w:w="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1.138</w:t>
                        </w:r>
                      </w:p>
                    </w:tc>
                    <w:tc>
                      <w:tcPr>
                        <w:tcW w:type="dxa" w:w="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1.133</w:t>
                        </w:r>
                      </w:p>
                    </w:tc>
                    <w:tc>
                      <w:tcPr>
                        <w:tcW w:type="dxa" w:w="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0.647</w:t>
                        </w:r>
                      </w:p>
                    </w:tc>
                    <w:tc>
                      <w:tcPr>
                        <w:tcW w:type="dxa" w:w="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0.09</w:t>
                        </w:r>
                      </w:p>
                    </w:tc>
                  </w:tr>
                  <w:tr>
                    <w:tc>
                      <w:tcPr>
                        <w:tcW w:type="dxa" w:w="17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Overhead costs</w:t>
                        </w:r>
                      </w:p>
                    </w:tc>
                    <w:tc>
                      <w:tcPr>
                        <w:tcW w:type="dxa" w:w="8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1.730</w:t>
                        </w:r>
                      </w:p>
                    </w:tc>
                    <w:tc>
                      <w:tcPr>
                        <w:tcW w:type="dxa" w:w="8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1.853</w:t>
                        </w:r>
                      </w:p>
                    </w:tc>
                    <w:tc>
                      <w:tcPr>
                        <w:tcW w:type="dxa" w:w="8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1.379</w:t>
                        </w:r>
                      </w:p>
                    </w:tc>
                    <w:tc>
                      <w:tcPr>
                        <w:tcW w:type="dxa" w:w="7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0.40</w:t>
                        </w:r>
                      </w:p>
                    </w:tc>
                  </w:tr>
                  <w:tr>
                    <w:tc>
                      <w:tcPr>
                        <w:tcW w:type="dxa" w:w="1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SG&amp;A incl. CAC</w:t>
                        </w:r>
                      </w:p>
                    </w:tc>
                    <w:tc>
                      <w:tcPr>
                        <w:tcW w:type="dxa" w:w="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5.936</w:t>
                        </w:r>
                      </w:p>
                    </w:tc>
                    <w:tc>
                      <w:tcPr>
                        <w:tcW w:type="dxa" w:w="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5.632</w:t>
                        </w:r>
                      </w:p>
                    </w:tc>
                    <w:tc>
                      <w:tcPr>
                        <w:tcW w:type="dxa" w:w="8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5.778</w:t>
                        </w:r>
                      </w:p>
                    </w:tc>
                    <w:tc>
                      <w:tcPr>
                        <w:tcW w:type="dxa" w:w="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w:t>
                        </w:r>
                      </w:p>
                    </w:tc>
                  </w:tr>
                </w:tbl>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Cost structure scales unevenly with revenue</w:t>
            </w:r>
          </w:p>
          <w:p>
            <w:pPr>
              <w:spacing w:after="80" w:before="0" w:line="240"/>
              <w:jc w:val="left"/>
            </w:pPr>
            <w:r>
              <w:rPr>
                <w:rFonts w:ascii="Arial" w:cs="Arial" w:eastAsia="Arial" w:hAnsi="Arial"/>
                <w:b w:val="false"/>
                <w:bCs w:val="false"/>
                <w:i w:val="false"/>
                <w:iCs w:val="false"/>
                <w:color w:val="222222"/>
                <w:sz w:val="18"/>
                <w:szCs w:val="18"/>
              </w:rPr>
              <w:t xml:space="preserve">Product costs are the main cost line correlated with revenue ramp-up. Operating costs also move with the ramp, while personnel and overhead do not scale linearly in the 2028 legacy-high case. This is why EBITDA margin expands sharply in the original driver model.</w:t>
            </w:r>
          </w:p>
          <w:p>
            <w:pPr>
              <w:spacing w:after="80" w:before="0" w:line="240"/>
              <w:jc w:val="left"/>
            </w:pPr>
            <w:r>
              <w:rPr>
                <w:rFonts w:ascii="Arial" w:cs="Arial" w:eastAsia="Arial" w:hAnsi="Arial"/>
                <w:b w:val="false"/>
                <w:bCs w:val="false"/>
                <w:i w:val="false"/>
                <w:iCs w:val="false"/>
                <w:color w:val="222222"/>
                <w:sz w:val="18"/>
                <w:szCs w:val="18"/>
              </w:rPr>
              <w:t xml:space="preserve">SG&amp;A including CAC is modeled at EUR 5.94m in 2026, EUR 5.63m in 2027 and EUR 5.78m in 2028. Sales and marketing CAC spend is significant and requires channel-level support before deeper diligence.</w:t>
            </w:r>
          </w:p>
          <w:p>
            <w:pPr>
              <w:spacing w:after="80" w:before="0" w:line="240"/>
              <w:jc w:val="left"/>
            </w:pPr>
            <w:r>
              <w:rPr>
                <w:rFonts w:ascii="Arial" w:cs="Arial" w:eastAsia="Arial" w:hAnsi="Arial"/>
                <w:b w:val="false"/>
                <w:bCs w:val="false"/>
                <w:i w:val="false"/>
                <w:iCs w:val="false"/>
                <w:color w:val="222222"/>
                <w:sz w:val="18"/>
                <w:szCs w:val="18"/>
              </w:rPr>
              <w:t xml:space="preserve">Specific model QA item: the extraction flagged a likely P4 CAC mapping issue in unit economics. This should be corrected before relying on CAC or SG&amp;A outputs for investor diligence.</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R7. EBITDA, free cash flow and capex</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R7</w:t>
                  </w:r>
                </w:p>
              </w:tc>
              <w:tc>
                <w:tcPr>
                  <w:tcW w:type="dxa" w:w="3950"/>
                  <w:tcBorders>
                    <w:top w:val="single" w:color="C9D3DD" w:sz="6"/>
                    <w:left w:val="single" w:color="C9D3DD" w:sz="6"/>
                    <w:bottom w:val="single" w:color="C9D3DD" w:sz="6"/>
                    <w:right w:val="single" w:color="C9D3DD" w:sz="6"/>
                  </w:tcBorders>
                  <w:shd w:fill="FCE4D6"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Profitability and cash flow (EUR m)</w:t>
                  </w:r>
                </w:p>
              </w:tc>
            </w:tr>
            <w:tr>
              <w:tc>
                <w:tcPr>
                  <w:tcW w:type="dxa" w:w="4800"/>
                  <w:gridSpan w:val="2"/>
                  <w:tcBorders>
                    <w:top w:val="single" w:color="C9D3DD" w:sz="6"/>
                    <w:left w:val="single" w:color="C9D3DD" w:sz="6"/>
                    <w:bottom w:val="single" w:color="C9D3DD" w:sz="6"/>
                    <w:right w:val="single" w:color="C9D3DD" w:sz="6"/>
                  </w:tcBorders>
                  <w:shd w:fill="FCE4D6"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1650"/>
                    <w:gridCol w:w="780"/>
                    <w:gridCol w:w="780"/>
                    <w:gridCol w:w="780"/>
                    <w:gridCol w:w="810"/>
                  </w:tblGrid>
                  <w:tr>
                    <w:trPr>
                      <w:tblHeader/>
                    </w:trPr>
                    <w:tc>
                      <w:tcPr>
                        <w:tcW w:type="dxa" w:w="1650"/>
                        <w:tcBorders>
                          <w:top w:val="single" w:color="C9D3DD" w:sz="6"/>
                          <w:left w:val="single" w:color="C9D3DD" w:sz="6"/>
                          <w:bottom w:val="single" w:color="C9D3DD" w:sz="6"/>
                          <w:right w:val="single" w:color="C9D3DD" w:sz="6"/>
                        </w:tcBorders>
                        <w:shd w:fill="C65911"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Metric</w:t>
                        </w:r>
                      </w:p>
                    </w:tc>
                    <w:tc>
                      <w:tcPr>
                        <w:tcW w:type="dxa" w:w="780"/>
                        <w:tcBorders>
                          <w:top w:val="single" w:color="C9D3DD" w:sz="6"/>
                          <w:left w:val="single" w:color="C9D3DD" w:sz="6"/>
                          <w:bottom w:val="single" w:color="C9D3DD" w:sz="6"/>
                          <w:right w:val="single" w:color="C9D3DD" w:sz="6"/>
                        </w:tcBorders>
                        <w:shd w:fill="C65911"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2025</w:t>
                        </w:r>
                      </w:p>
                    </w:tc>
                    <w:tc>
                      <w:tcPr>
                        <w:tcW w:type="dxa" w:w="780"/>
                        <w:tcBorders>
                          <w:top w:val="single" w:color="C9D3DD" w:sz="6"/>
                          <w:left w:val="single" w:color="C9D3DD" w:sz="6"/>
                          <w:bottom w:val="single" w:color="C9D3DD" w:sz="6"/>
                          <w:right w:val="single" w:color="C9D3DD" w:sz="6"/>
                        </w:tcBorders>
                        <w:shd w:fill="C65911"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2026</w:t>
                        </w:r>
                      </w:p>
                    </w:tc>
                    <w:tc>
                      <w:tcPr>
                        <w:tcW w:type="dxa" w:w="780"/>
                        <w:tcBorders>
                          <w:top w:val="single" w:color="C9D3DD" w:sz="6"/>
                          <w:left w:val="single" w:color="C9D3DD" w:sz="6"/>
                          <w:bottom w:val="single" w:color="C9D3DD" w:sz="6"/>
                          <w:right w:val="single" w:color="C9D3DD" w:sz="6"/>
                        </w:tcBorders>
                        <w:shd w:fill="C65911"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2027</w:t>
                        </w:r>
                      </w:p>
                    </w:tc>
                    <w:tc>
                      <w:tcPr>
                        <w:tcW w:type="dxa" w:w="810"/>
                        <w:tcBorders>
                          <w:top w:val="single" w:color="C9D3DD" w:sz="6"/>
                          <w:left w:val="single" w:color="C9D3DD" w:sz="6"/>
                          <w:bottom w:val="single" w:color="C9D3DD" w:sz="6"/>
                          <w:right w:val="single" w:color="C9D3DD" w:sz="6"/>
                        </w:tcBorders>
                        <w:shd w:fill="C65911"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2028</w:t>
                        </w:r>
                      </w:p>
                    </w:tc>
                  </w:tr>
                  <w:tr>
                    <w:tc>
                      <w:tcPr>
                        <w:tcW w:type="dxa" w:w="16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Total income</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0.750</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9.446</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18.532</w:t>
                        </w:r>
                      </w:p>
                    </w:tc>
                    <w:tc>
                      <w:tcPr>
                        <w:tcW w:type="dxa" w:w="81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35.592</w:t>
                        </w:r>
                      </w:p>
                    </w:tc>
                  </w:tr>
                  <w:tr>
                    <w:tc>
                      <w:tcPr>
                        <w:tcW w:type="dxa" w:w="16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EBITDA</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(0.751)</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(1.528)</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0.873</w:t>
                        </w:r>
                      </w:p>
                    </w:tc>
                    <w:tc>
                      <w:tcPr>
                        <w:tcW w:type="dxa" w:w="81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18.850</w:t>
                        </w:r>
                      </w:p>
                    </w:tc>
                  </w:tr>
                  <w:tr>
                    <w:tc>
                      <w:tcPr>
                        <w:tcW w:type="dxa" w:w="16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EBITDA margin</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(100.2%)</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(16.2%)</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4.7%</w:t>
                        </w:r>
                      </w:p>
                    </w:tc>
                    <w:tc>
                      <w:tcPr>
                        <w:tcW w:type="dxa" w:w="81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53.0%</w:t>
                        </w:r>
                      </w:p>
                    </w:tc>
                  </w:tr>
                  <w:tr>
                    <w:tc>
                      <w:tcPr>
                        <w:tcW w:type="dxa" w:w="16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Free cash flow</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(0.733)</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(2.070)</w:t>
                        </w:r>
                      </w:p>
                    </w:tc>
                    <w:tc>
                      <w:tcPr>
                        <w:tcW w:type="dxa" w:w="78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0.084</w:t>
                        </w:r>
                      </w:p>
                    </w:tc>
                    <w:tc>
                      <w:tcPr>
                        <w:tcW w:type="dxa" w:w="81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11.558</w:t>
                        </w:r>
                      </w:p>
                    </w:tc>
                  </w:tr>
                  <w:tr>
                    <w:tc>
                      <w:tcPr>
                        <w:tcW w:type="dxa" w:w="16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Capex</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0.012</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0.613</w:t>
                        </w:r>
                      </w:p>
                    </w:tc>
                    <w:tc>
                      <w:tcPr>
                        <w:tcW w:type="dxa" w:w="78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0.408</w:t>
                        </w:r>
                      </w:p>
                    </w:tc>
                    <w:tc>
                      <w:tcPr>
                        <w:tcW w:type="dxa" w:w="81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0.300</w:t>
                        </w:r>
                      </w:p>
                    </w:tc>
                  </w:tr>
                </w:tbl>
                <w:p>
                  <w:pPr>
                    <w:spacing w:after="60" w:before="0" w:line="240"/>
                    <w:jc w:val="left"/>
                  </w:pPr>
                  <w:r>
                    <w:rPr>
                      <w:rFonts w:ascii="Arial" w:cs="Arial" w:eastAsia="Arial" w:hAnsi="Arial"/>
                      <w:b w:val="false"/>
                      <w:bCs w:val="false"/>
                      <w:i w:val="false"/>
                      <w:iCs w:val="false"/>
                      <w:color w:val="595959"/>
                      <w:sz w:val="16"/>
                      <w:szCs w:val="16"/>
                    </w:rPr>
                    <w:t xml:space="preserve">EBITDA and FCF CAGR are not meaningful from negative bases; capex CAGR 2026-2028 is -30.0%.</w:t>
                  </w:r>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The original driver model turns profitable, but only in the high case</w:t>
            </w:r>
          </w:p>
          <w:p>
            <w:pPr>
              <w:spacing w:after="80" w:before="0" w:line="240"/>
              <w:jc w:val="left"/>
            </w:pPr>
            <w:r>
              <w:rPr>
                <w:rFonts w:ascii="Arial" w:cs="Arial" w:eastAsia="Arial" w:hAnsi="Arial"/>
                <w:b w:val="false"/>
                <w:bCs w:val="false"/>
                <w:i w:val="false"/>
                <w:iCs w:val="false"/>
                <w:color w:val="222222"/>
                <w:sz w:val="18"/>
                <w:szCs w:val="18"/>
              </w:rPr>
              <w:t xml:space="preserve">The underlying 26_0504 model turns EBITDA positive in 2027 and reaches 53.0% EBITDA margin by 2028 in the legacy-high scenario. Free cash flow also turns positive in 2027 and reaches EUR 11.56m by 2028.</w:t>
            </w:r>
          </w:p>
          <w:p>
            <w:pPr>
              <w:spacing w:after="80" w:before="0" w:line="240"/>
              <w:jc w:val="left"/>
            </w:pPr>
            <w:r>
              <w:rPr>
                <w:rFonts w:ascii="Arial" w:cs="Arial" w:eastAsia="Arial" w:hAnsi="Arial"/>
                <w:b w:val="false"/>
                <w:bCs w:val="false"/>
                <w:i w:val="false"/>
                <w:iCs w:val="false"/>
                <w:color w:val="222222"/>
                <w:sz w:val="18"/>
                <w:szCs w:val="18"/>
              </w:rPr>
              <w:t xml:space="preserve">Because EBITDA and free cash flow start from negative values, CAGR is not a meaningful measure for those metrics. The more useful executive explanation is the inflection point: EBITDA and FCF turn positive in 2027 in the high-case architecture.</w:t>
            </w:r>
          </w:p>
          <w:p>
            <w:pPr>
              <w:spacing w:after="80" w:before="0" w:line="240"/>
              <w:jc w:val="left"/>
            </w:pPr>
            <w:r>
              <w:rPr>
                <w:rFonts w:ascii="Arial" w:cs="Arial" w:eastAsia="Arial" w:hAnsi="Arial"/>
                <w:b w:val="false"/>
                <w:bCs w:val="false"/>
                <w:i w:val="false"/>
                <w:iCs w:val="false"/>
                <w:color w:val="222222"/>
                <w:sz w:val="18"/>
                <w:szCs w:val="18"/>
              </w:rPr>
              <w:t xml:space="preserve">Capex peaks in 2026 at EUR 0.613m and declines to EUR 0.300m by 2028, reflecting lower capital intensity after the initial product and infrastructure investment ramp.</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R8. Runway, use of funds and milestone logic</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R8</w:t>
                  </w:r>
                </w:p>
              </w:tc>
              <w:tc>
                <w:tcPr>
                  <w:tcW w:type="dxa" w:w="3950"/>
                  <w:tcBorders>
                    <w:top w:val="single" w:color="C9D3DD" w:sz="6"/>
                    <w:left w:val="single" w:color="C9D3DD" w:sz="6"/>
                    <w:bottom w:val="single" w:color="C9D3DD" w:sz="6"/>
                    <w:right w:val="single" w:color="C9D3DD" w:sz="6"/>
                  </w:tcBorders>
                  <w:shd w:fill="D9EAF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EUR 1.0m use of funds</w:t>
                  </w:r>
                </w:p>
              </w:tc>
            </w:tr>
            <w:tr>
              <w:tc>
                <w:tcPr>
                  <w:tcW w:type="dxa" w:w="4800"/>
                  <w:gridSpan w:val="2"/>
                  <w:tcBorders>
                    <w:top w:val="single" w:color="C9D3DD" w:sz="6"/>
                    <w:left w:val="single" w:color="C9D3DD" w:sz="6"/>
                    <w:bottom w:val="single" w:color="C9D3DD" w:sz="6"/>
                    <w:right w:val="single" w:color="C9D3DD" w:sz="6"/>
                  </w:tcBorders>
                  <w:shd w:fill="D9EAF7"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3350"/>
                    <w:gridCol w:w="1450"/>
                  </w:tblGrid>
                  <w:tr>
                    <w:trPr>
                      <w:tblHeader/>
                    </w:trPr>
                    <w:tc>
                      <w:tcPr>
                        <w:tcW w:type="dxa" w:w="3350"/>
                        <w:tcBorders>
                          <w:top w:val="single" w:color="C9D3DD" w:sz="6"/>
                          <w:left w:val="single" w:color="C9D3DD" w:sz="6"/>
                          <w:bottom w:val="single" w:color="C9D3DD" w:sz="6"/>
                          <w:right w:val="single" w:color="C9D3DD" w:sz="6"/>
                        </w:tcBorders>
                        <w:shd w:fill="5B9BD5"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Use of funds</w:t>
                        </w:r>
                      </w:p>
                    </w:tc>
                    <w:tc>
                      <w:tcPr>
                        <w:tcW w:type="dxa" w:w="1450"/>
                        <w:tcBorders>
                          <w:top w:val="single" w:color="C9D3DD" w:sz="6"/>
                          <w:left w:val="single" w:color="C9D3DD" w:sz="6"/>
                          <w:bottom w:val="single" w:color="C9D3DD" w:sz="6"/>
                          <w:right w:val="single" w:color="C9D3DD" w:sz="6"/>
                        </w:tcBorders>
                        <w:shd w:fill="5B9BD5"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EUR</w:t>
                        </w:r>
                      </w:p>
                    </w:tc>
                  </w:tr>
                  <w:tr>
                    <w:tc>
                      <w:tcPr>
                        <w:tcW w:type="dxa" w:w="33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Fixed operating layer</w:t>
                        </w:r>
                      </w:p>
                    </w:tc>
                    <w:tc>
                      <w:tcPr>
                        <w:tcW w:type="dxa" w:w="14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350k</w:t>
                        </w:r>
                      </w:p>
                    </w:tc>
                  </w:tr>
                  <w:tr>
                    <w:tc>
                      <w:tcPr>
                        <w:tcW w:type="dxa" w:w="33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Product / HROI infrastructure</w:t>
                        </w:r>
                      </w:p>
                    </w:tc>
                    <w:tc>
                      <w:tcPr>
                        <w:tcW w:type="dxa" w:w="14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180k</w:t>
                        </w:r>
                      </w:p>
                    </w:tc>
                  </w:tr>
                  <w:tr>
                    <w:tc>
                      <w:tcPr>
                        <w:tcW w:type="dxa" w:w="33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GTM / design partner conversion</w:t>
                        </w:r>
                      </w:p>
                    </w:tc>
                    <w:tc>
                      <w:tcPr>
                        <w:tcW w:type="dxa" w:w="14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170k</w:t>
                        </w:r>
                      </w:p>
                    </w:tc>
                  </w:tr>
                  <w:tr>
                    <w:tc>
                      <w:tcPr>
                        <w:tcW w:type="dxa" w:w="33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Customer delivery reserve</w:t>
                        </w:r>
                      </w:p>
                    </w:tc>
                    <w:tc>
                      <w:tcPr>
                        <w:tcW w:type="dxa" w:w="14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150k</w:t>
                        </w:r>
                      </w:p>
                    </w:tc>
                  </w:tr>
                  <w:tr>
                    <w:tc>
                      <w:tcPr>
                        <w:tcW w:type="dxa" w:w="33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Legal / finance / claims review</w:t>
                        </w:r>
                      </w:p>
                    </w:tc>
                    <w:tc>
                      <w:tcPr>
                        <w:tcW w:type="dxa" w:w="14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80k</w:t>
                        </w:r>
                      </w:p>
                    </w:tc>
                  </w:tr>
                  <w:tr>
                    <w:tc>
                      <w:tcPr>
                        <w:tcW w:type="dxa" w:w="33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Contingency / cash buffer</w:t>
                        </w:r>
                      </w:p>
                    </w:tc>
                    <w:tc>
                      <w:tcPr>
                        <w:tcW w:type="dxa" w:w="145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70k</w:t>
                        </w:r>
                      </w:p>
                    </w:tc>
                  </w:tr>
                  <w:tr>
                    <w:tc>
                      <w:tcPr>
                        <w:tcW w:type="dxa" w:w="33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Total raise frame</w:t>
                        </w:r>
                      </w:p>
                    </w:tc>
                    <w:tc>
                      <w:tcPr>
                        <w:tcW w:type="dxa" w:w="145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1.000m</w:t>
                        </w:r>
                      </w:p>
                    </w:tc>
                  </w:tr>
                </w:tbl>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The raise buys proof, not the full high-case forecast</w:t>
            </w:r>
          </w:p>
          <w:p>
            <w:pPr>
              <w:spacing w:after="80" w:before="0" w:line="240"/>
              <w:jc w:val="left"/>
            </w:pPr>
            <w:r>
              <w:rPr>
                <w:rFonts w:ascii="Arial" w:cs="Arial" w:eastAsia="Arial" w:hAnsi="Arial"/>
                <w:b w:val="false"/>
                <w:bCs w:val="false"/>
                <w:i w:val="false"/>
                <w:iCs w:val="false"/>
                <w:color w:val="222222"/>
                <w:sz w:val="18"/>
                <w:szCs w:val="18"/>
              </w:rPr>
              <w:t xml:space="preserve">The latest overlay frames the EUR 1.0m raise around proof and runway discipline: fixed operations, product/HROI infrastructure, GTM/design partner conversion, customer delivery reserve, legal/finance/claims review and contingency.</w:t>
            </w:r>
          </w:p>
          <w:p>
            <w:pPr>
              <w:spacing w:after="80" w:before="0" w:line="240"/>
              <w:jc w:val="left"/>
            </w:pPr>
            <w:r>
              <w:rPr>
                <w:rFonts w:ascii="Arial" w:cs="Arial" w:eastAsia="Arial" w:hAnsi="Arial"/>
                <w:b w:val="false"/>
                <w:bCs w:val="false"/>
                <w:i w:val="false"/>
                <w:iCs w:val="false"/>
                <w:color w:val="222222"/>
                <w:sz w:val="18"/>
                <w:szCs w:val="18"/>
              </w:rPr>
              <w:t xml:space="preserve">This is the right early-stage investor posture. The financing case should be that EUR 1.0m funds the evidence required to validate repeatable demand, paid pilots, renewal signal, source-linked intelligence workflow and delivery margin discipline.</w:t>
            </w:r>
          </w:p>
          <w:p>
            <w:pPr>
              <w:spacing w:after="80" w:before="0" w:line="240"/>
              <w:jc w:val="left"/>
            </w:pPr>
            <w:r>
              <w:rPr>
                <w:rFonts w:ascii="Arial" w:cs="Arial" w:eastAsia="Arial" w:hAnsi="Arial"/>
                <w:b w:val="false"/>
                <w:bCs w:val="false"/>
                <w:i w:val="false"/>
                <w:iCs w:val="false"/>
                <w:color w:val="222222"/>
                <w:sz w:val="18"/>
                <w:szCs w:val="18"/>
              </w:rPr>
              <w:t xml:space="preserve">Finetuning area: add a monthly runway view through the proof period, with burn, cash balance, milestone timing, committed spend, optional spend and stop/go gates.</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R9. Professional analyst read and finetuning priorities</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R9</w:t>
                  </w:r>
                </w:p>
              </w:tc>
              <w:tc>
                <w:tcPr>
                  <w:tcW w:type="dxa" w:w="3950"/>
                  <w:tcBorders>
                    <w:top w:val="single" w:color="C9D3DD" w:sz="6"/>
                    <w:left w:val="single" w:color="C9D3DD" w:sz="6"/>
                    <w:bottom w:val="single" w:color="C9D3DD" w:sz="6"/>
                    <w:right w:val="single" w:color="C9D3DD" w:sz="6"/>
                  </w:tcBorders>
                  <w:shd w:fill="F3F5F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Investment analyst checklist</w:t>
                  </w:r>
                </w:p>
              </w:tc>
            </w:tr>
            <w:tr>
              <w:tc>
                <w:tcPr>
                  <w:tcW w:type="dxa" w:w="4800"/>
                  <w:gridSpan w:val="2"/>
                  <w:tcBorders>
                    <w:top w:val="single" w:color="C9D3DD" w:sz="6"/>
                    <w:left w:val="single" w:color="C9D3DD" w:sz="6"/>
                    <w:bottom w:val="single" w:color="C9D3DD" w:sz="6"/>
                    <w:right w:val="single" w:color="C9D3DD" w:sz="6"/>
                  </w:tcBorders>
                  <w:shd w:fill="F3F5F7"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2700"/>
                    <w:gridCol w:w="2100"/>
                  </w:tblGrid>
                  <w:tr>
                    <w:trPr>
                      <w:tblHeader/>
                    </w:trPr>
                    <w:tc>
                      <w:tcPr>
                        <w:tcW w:type="dxa" w:w="2700"/>
                        <w:tcBorders>
                          <w:top w:val="single" w:color="C9D3DD" w:sz="6"/>
                          <w:left w:val="single" w:color="C9D3DD" w:sz="6"/>
                          <w:bottom w:val="single" w:color="C9D3DD" w:sz="6"/>
                          <w:right w:val="single" w:color="C9D3DD" w:sz="6"/>
                        </w:tcBorders>
                        <w:shd w:fill="A5A5A5"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Review item</w:t>
                        </w:r>
                      </w:p>
                    </w:tc>
                    <w:tc>
                      <w:tcPr>
                        <w:tcW w:type="dxa" w:w="2100"/>
                        <w:tcBorders>
                          <w:top w:val="single" w:color="C9D3DD" w:sz="6"/>
                          <w:left w:val="single" w:color="C9D3DD" w:sz="6"/>
                          <w:bottom w:val="single" w:color="C9D3DD" w:sz="6"/>
                          <w:right w:val="single" w:color="C9D3DD" w:sz="6"/>
                        </w:tcBorders>
                        <w:shd w:fill="A5A5A5"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FFFFFF"/>
                            <w:sz w:val="12"/>
                            <w:szCs w:val="12"/>
                          </w:rPr>
                          <w:t xml:space="preserve">Status</w:t>
                        </w:r>
                      </w:p>
                    </w:tc>
                  </w:tr>
                  <w:tr>
                    <w:tc>
                      <w:tcPr>
                        <w:tcW w:type="dxa" w:w="2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Formula-linked driver model</w:t>
                        </w:r>
                      </w:p>
                    </w:tc>
                    <w:tc>
                      <w:tcPr>
                        <w:tcW w:type="dxa" w:w="21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Strong architecture</w:t>
                        </w:r>
                      </w:p>
                    </w:tc>
                  </w:tr>
                  <w:tr>
                    <w:tc>
                      <w:tcPr>
                        <w:tcW w:type="dxa" w:w="27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Latest overlay</w:t>
                        </w:r>
                      </w:p>
                    </w:tc>
                    <w:tc>
                      <w:tcPr>
                        <w:tcW w:type="dxa" w:w="21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Static investor bridge</w:t>
                        </w:r>
                      </w:p>
                    </w:tc>
                  </w:tr>
                  <w:tr>
                    <w:tc>
                      <w:tcPr>
                        <w:tcW w:type="dxa" w:w="2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Market sizing / TAM</w:t>
                        </w:r>
                      </w:p>
                    </w:tc>
                    <w:tc>
                      <w:tcPr>
                        <w:tcW w:type="dxa" w:w="21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Not quantified in workbook</w:t>
                        </w:r>
                      </w:p>
                    </w:tc>
                  </w:tr>
                  <w:tr>
                    <w:tc>
                      <w:tcPr>
                        <w:tcW w:type="dxa" w:w="27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Customer spend by tier</w:t>
                        </w:r>
                      </w:p>
                    </w:tc>
                    <w:tc>
                      <w:tcPr>
                        <w:tcW w:type="dxa" w:w="21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Proxy only; needs table</w:t>
                        </w:r>
                      </w:p>
                    </w:tc>
                  </w:tr>
                  <w:tr>
                    <w:tc>
                      <w:tcPr>
                        <w:tcW w:type="dxa" w:w="2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Actuals reconciliation</w:t>
                        </w:r>
                      </w:p>
                    </w:tc>
                    <w:tc>
                      <w:tcPr>
                        <w:tcW w:type="dxa" w:w="21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Needs booked / invoiced / collected split</w:t>
                        </w:r>
                      </w:p>
                    </w:tc>
                  </w:tr>
                  <w:tr>
                    <w:tc>
                      <w:tcPr>
                        <w:tcW w:type="dxa" w:w="27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External benchmarks</w:t>
                        </w:r>
                      </w:p>
                    </w:tc>
                    <w:tc>
                      <w:tcPr>
                        <w:tcW w:type="dxa" w:w="21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Needs comp sheet</w:t>
                        </w:r>
                      </w:p>
                    </w:tc>
                  </w:tr>
                  <w:tr>
                    <w:tc>
                      <w:tcPr>
                        <w:tcW w:type="dxa" w:w="27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Legal / claims review</w:t>
                        </w:r>
                      </w:p>
                    </w:tc>
                    <w:tc>
                      <w:tcPr>
                        <w:tcW w:type="dxa" w:w="21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Release gate</w:t>
                        </w:r>
                      </w:p>
                    </w:tc>
                  </w:tr>
                  <w:tr>
                    <w:tc>
                      <w:tcPr>
                        <w:tcW w:type="dxa" w:w="27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Final Excel QA</w:t>
                        </w:r>
                      </w:p>
                    </w:tc>
                    <w:tc>
                      <w:tcPr>
                        <w:tcW w:type="dxa" w:w="2100"/>
                        <w:tcBorders>
                          <w:top w:val="single" w:color="C9D3DD" w:sz="6"/>
                          <w:left w:val="single" w:color="C9D3DD" w:sz="6"/>
                          <w:bottom w:val="single" w:color="C9D3DD" w:sz="6"/>
                          <w:right w:val="single" w:color="C9D3DD" w:sz="6"/>
                        </w:tcBorders>
                        <w:shd w:fill="F8FAFC" w:val="clear"/>
                        <w:tcMar>
                          <w:top w:type="dxa" w:w="120"/>
                          <w:left w:type="dxa" w:w="140"/>
                          <w:bottom w:type="dxa" w:w="120"/>
                          <w:right w:type="dxa" w:w="140"/>
                        </w:tcMar>
                        <w:vAlign w:val="top"/>
                      </w:tcPr>
                      <w:p>
                        <w:pPr>
                          <w:spacing w:after="80" w:before="0" w:line="240"/>
                          <w:jc w:val="left"/>
                        </w:pPr>
                        <w:r>
                          <w:rPr>
                            <w:rFonts w:ascii="Arial" w:cs="Arial" w:eastAsia="Arial" w:hAnsi="Arial"/>
                            <w:b w:val="false"/>
                            <w:bCs w:val="false"/>
                            <w:i w:val="false"/>
                            <w:iCs w:val="false"/>
                            <w:color w:val="222222"/>
                            <w:sz w:val="12"/>
                            <w:szCs w:val="12"/>
                          </w:rPr>
                          <w:t xml:space="preserve">Required before external reliance</w:t>
                        </w:r>
                      </w:p>
                    </w:tc>
                  </w:tr>
                </w:tbl>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Quality, completeness and diligence view</w:t>
            </w:r>
          </w:p>
          <w:p>
            <w:pPr>
              <w:spacing w:after="80" w:before="0" w:line="240"/>
              <w:jc w:val="left"/>
            </w:pPr>
            <w:r>
              <w:rPr>
                <w:rFonts w:ascii="Arial" w:cs="Arial" w:eastAsia="Arial" w:hAnsi="Arial"/>
                <w:b w:val="false"/>
                <w:bCs w:val="false"/>
                <w:i w:val="false"/>
                <w:iCs w:val="false"/>
                <w:color w:val="222222"/>
                <w:sz w:val="18"/>
                <w:szCs w:val="18"/>
              </w:rPr>
              <w:t xml:space="preserve">A professional early-stage analyst would read the package as a materially improved investor-readiness bridge, not a final institutional diligence model. Structure is strong: assumptions, drivers, unit economics, costs/capex, financing, statements, checks, dashboard and source map are all present.</w:t>
            </w:r>
          </w:p>
          <w:p>
            <w:pPr>
              <w:spacing w:after="80" w:before="0" w:line="240"/>
              <w:jc w:val="left"/>
            </w:pPr>
            <w:r>
              <w:rPr>
                <w:rFonts w:ascii="Arial" w:cs="Arial" w:eastAsia="Arial" w:hAnsi="Arial"/>
                <w:b w:val="false"/>
                <w:bCs w:val="false"/>
                <w:i w:val="false"/>
                <w:iCs w:val="false"/>
                <w:color w:val="222222"/>
                <w:sz w:val="18"/>
                <w:szCs w:val="18"/>
              </w:rPr>
              <w:t xml:space="preserve">The model is unusually complete for a pre-seed or seed-stage narrative model, but its gap is evidentiary rather than structural. The key missing layer is proof: booked/invoiced/collected actuals, named pipeline, signed pilots, renewal evidence, delivery-cost actuals, CAC data, churn/retention evidence, external benchmark comps and counsel-reviewed financing/public-support language.</w:t>
            </w:r>
          </w:p>
          <w:p>
            <w:pPr>
              <w:spacing w:after="80" w:before="0" w:line="240"/>
              <w:jc w:val="left"/>
            </w:pPr>
            <w:r>
              <w:rPr>
                <w:rFonts w:ascii="Arial" w:cs="Arial" w:eastAsia="Arial" w:hAnsi="Arial"/>
                <w:b w:val="false"/>
                <w:bCs w:val="false"/>
                <w:i w:val="false"/>
                <w:iCs w:val="false"/>
                <w:color w:val="222222"/>
                <w:sz w:val="18"/>
                <w:szCs w:val="18"/>
              </w:rPr>
              <w:t xml:space="preserve">Analyst conclusion: credible if proof-gated. The first-send deck should show the current revenue floor, the upside appendix should preserve the expansion and legacy-high architecture, and diligence should focus on conversion evidence, gross-margin proof, monthly runway, benchmark validation and release-gate discipline.</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Release-ready language</w:t>
      </w:r>
    </w:p>
    <w:tbl>
      <w:tblPr>
        <w:tblW w:type="dxa" w:w="14400"/>
        <w:tblBorders>
          <w:top w:val="single" w:color="auto" w:sz="4"/>
          <w:left w:val="single" w:color="auto" w:sz="4"/>
          <w:bottom w:val="single" w:color="auto" w:sz="4"/>
          <w:right w:val="single" w:color="auto" w:sz="4"/>
          <w:insideH w:val="single" w:color="auto" w:sz="4"/>
          <w:insideV w:val="single" w:color="auto" w:sz="4"/>
        </w:tblBorders>
      </w:tblPr>
      <w:tblGrid>
        <w:gridCol w:w="5100"/>
        <w:gridCol w:w="9300"/>
      </w:tblGrid>
      <w:tr>
        <w:tc>
          <w:tcPr>
            <w:tcW w:type="dxa" w:w="5100"/>
            <w:tcBorders>
              <w:top w:val="single" w:color="C9D3DD" w:sz="6"/>
              <w:left w:val="single" w:color="C9D3DD" w:sz="6"/>
              <w:bottom w:val="single" w:color="C9D3DD" w:sz="6"/>
              <w:right w:val="single" w:color="C9D3DD" w:sz="6"/>
            </w:tcBorders>
            <w:shd w:fill="F7FBFF" w:val="clear"/>
            <w:tcMar>
              <w:top w:type="dxa" w:w="120"/>
              <w:left w:type="dxa" w:w="140"/>
              <w:bottom w:type="dxa" w:w="120"/>
              <w:right w:type="dxa" w:w="140"/>
            </w:tcMar>
            <w:vAlign w:val="top"/>
          </w:tcPr>
          <w:tbl>
            <w:tblPr>
              <w:tblW w:type="dxa" w:w="4800"/>
              <w:tblBorders>
                <w:top w:val="single" w:color="auto" w:sz="4"/>
                <w:left w:val="single" w:color="auto" w:sz="4"/>
                <w:bottom w:val="single" w:color="auto" w:sz="4"/>
                <w:right w:val="single" w:color="auto" w:sz="4"/>
                <w:insideH w:val="single" w:color="auto" w:sz="4"/>
                <w:insideV w:val="single" w:color="auto" w:sz="4"/>
              </w:tblBorders>
            </w:tblPr>
            <w:tblGrid>
              <w:gridCol w:w="850"/>
              <w:gridCol w:w="3950"/>
            </w:tblGrid>
            <w:tr>
              <w:tc>
                <w:tcPr>
                  <w:tcW w:type="dxa" w:w="850"/>
                  <w:tcBorders>
                    <w:top w:val="single" w:color="C9D3DD" w:sz="6"/>
                    <w:left w:val="single" w:color="C9D3DD" w:sz="6"/>
                    <w:bottom w:val="single" w:color="C9D3DD" w:sz="6"/>
                    <w:right w:val="single" w:color="C9D3DD" w:sz="6"/>
                  </w:tcBorders>
                  <w:shd w:fill="17365D" w:val="clear"/>
                  <w:tcMar>
                    <w:top w:type="dxa" w:w="120"/>
                    <w:left w:type="dxa" w:w="140"/>
                    <w:bottom w:type="dxa" w:w="120"/>
                    <w:right w:type="dxa" w:w="140"/>
                  </w:tcMar>
                  <w:vAlign w:val="top"/>
                </w:tcPr>
                <w:p>
                  <w:pPr>
                    <w:spacing w:after="80" w:before="0" w:line="240"/>
                    <w:jc w:val="center"/>
                  </w:pPr>
                  <w:r>
                    <w:rPr>
                      <w:rFonts w:ascii="Arial" w:cs="Arial" w:eastAsia="Arial" w:hAnsi="Arial"/>
                      <w:b/>
                      <w:bCs/>
                      <w:i w:val="false"/>
                      <w:iCs w:val="false"/>
                      <w:color w:val="FFFFFF"/>
                      <w:sz w:val="18"/>
                      <w:szCs w:val="18"/>
                    </w:rPr>
                    <w:t xml:space="preserve">R10</w:t>
                  </w:r>
                </w:p>
              </w:tc>
              <w:tc>
                <w:tcPr>
                  <w:tcW w:type="dxa" w:w="3950"/>
                  <w:tcBorders>
                    <w:top w:val="single" w:color="C9D3DD" w:sz="6"/>
                    <w:left w:val="single" w:color="C9D3DD" w:sz="6"/>
                    <w:bottom w:val="single" w:color="C9D3DD" w:sz="6"/>
                    <w:right w:val="single" w:color="C9D3DD" w:sz="6"/>
                  </w:tcBorders>
                  <w:shd w:fill="D9EAF7" w:val="clear"/>
                  <w:tcMar>
                    <w:top w:type="dxa" w:w="120"/>
                    <w:left w:type="dxa" w:w="140"/>
                    <w:bottom w:type="dxa" w:w="120"/>
                    <w:right w:type="dxa" w:w="140"/>
                  </w:tcMar>
                  <w:vAlign w:val="top"/>
                </w:tcPr>
                <w:p>
                  <w:pPr>
                    <w:spacing w:after="80" w:before="0" w:line="240"/>
                    <w:jc w:val="left"/>
                  </w:pPr>
                  <w:r>
                    <w:rPr>
                      <w:rFonts w:ascii="Arial" w:cs="Arial" w:eastAsia="Arial" w:hAnsi="Arial"/>
                      <w:b/>
                      <w:bCs/>
                      <w:i w:val="false"/>
                      <w:iCs w:val="false"/>
                      <w:color w:val="17365D"/>
                      <w:sz w:val="16"/>
                      <w:szCs w:val="16"/>
                    </w:rPr>
                    <w:t xml:space="preserve">Preferred external model description</w:t>
                  </w:r>
                </w:p>
              </w:tc>
            </w:tr>
            <w:tr>
              <w:tc>
                <w:tcPr>
                  <w:tcW w:type="dxa" w:w="4800"/>
                  <w:gridSpan w:val="2"/>
                  <w:tcBorders>
                    <w:top w:val="single" w:color="C9D3DD" w:sz="6"/>
                    <w:left w:val="single" w:color="C9D3DD" w:sz="6"/>
                    <w:bottom w:val="single" w:color="C9D3DD" w:sz="6"/>
                    <w:right w:val="single" w:color="C9D3DD" w:sz="6"/>
                  </w:tcBorders>
                  <w:shd w:fill="D9EAF7" w:val="clear"/>
                  <w:tcMar>
                    <w:top w:type="dxa" w:w="120"/>
                    <w:left w:type="dxa" w:w="140"/>
                    <w:bottom w:type="dxa" w:w="120"/>
                    <w:right w:type="dxa" w:w="140"/>
                  </w:tcMar>
                  <w:vAlign w:val="top"/>
                </w:tcPr>
                <w:p>
                  <w:pPr>
                    <w:spacing w:after="40" w:before="0" w:line="240"/>
                    <w:jc w:val="left"/>
                  </w:pPr>
                  <w:r>
                    <w:rPr>
                      <w:rFonts w:ascii="Arial" w:cs="Arial" w:eastAsia="Arial" w:hAnsi="Arial"/>
                      <w:b/>
                      <w:bCs/>
                      <w:i w:val="false"/>
                      <w:iCs w:val="false"/>
                      <w:color w:val="17365D"/>
                      <w:sz w:val="16"/>
                      <w:szCs w:val="16"/>
                    </w:rPr>
                    <w:t xml:space="preserve">Use this wording</w:t>
                  </w:r>
                </w:p>
                <w:p>
                  <w:pPr>
                    <w:spacing w:after="60" w:before="0" w:line="240"/>
                    <w:jc w:val="left"/>
                  </w:pPr>
                  <w:r>
                    <w:rPr>
                      <w:rFonts w:ascii="Arial" w:cs="Arial" w:eastAsia="Arial" w:hAnsi="Arial"/>
                      <w:b w:val="false"/>
                      <w:bCs w:val="false"/>
                      <w:i w:val="false"/>
                      <w:iCs w:val="false"/>
                      <w:color w:val="595959"/>
                      <w:sz w:val="16"/>
                      <w:szCs w:val="16"/>
                    </w:rPr>
                    <w:t xml:space="preserve">The model centralizes key assumptions in designated input and driver layers and links operating outputs through formulas.</w:t>
                  </w:r>
                </w:p>
                <w:p>
                  <w:pPr>
                    <w:spacing w:after="40" w:before="0" w:line="240"/>
                    <w:jc w:val="left"/>
                  </w:pPr>
                  <w:r>
                    <w:rPr>
                      <w:rFonts w:ascii="Arial" w:cs="Arial" w:eastAsia="Arial" w:hAnsi="Arial"/>
                      <w:b/>
                      <w:bCs/>
                      <w:i w:val="false"/>
                      <w:iCs w:val="false"/>
                      <w:color w:val="17365D"/>
                      <w:sz w:val="16"/>
                      <w:szCs w:val="16"/>
                    </w:rPr>
                    <w:t xml:space="preserve">Avoid this wording</w:t>
                  </w:r>
                </w:p>
                <w:p>
                  <w:pPr>
                    <w:spacing w:after="60" w:before="0" w:line="240"/>
                    <w:jc w:val="left"/>
                  </w:pPr>
                  <w:r>
                    <w:rPr>
                      <w:rFonts w:ascii="Arial" w:cs="Arial" w:eastAsia="Arial" w:hAnsi="Arial"/>
                      <w:b w:val="false"/>
                      <w:bCs w:val="false"/>
                      <w:i w:val="false"/>
                      <w:iCs w:val="false"/>
                      <w:color w:val="595959"/>
                      <w:sz w:val="16"/>
                      <w:szCs w:val="16"/>
                    </w:rPr>
                    <w:t xml:space="preserve">No hardcoded inputs.</w:t>
                  </w:r>
                </w:p>
                <w:p>
                  <w:pPr>
                    <w:spacing w:after="40" w:before="0" w:line="240"/>
                    <w:jc w:val="left"/>
                  </w:pPr>
                  <w:r>
                    <w:rPr>
                      <w:rFonts w:ascii="Arial" w:cs="Arial" w:eastAsia="Arial" w:hAnsi="Arial"/>
                      <w:b/>
                      <w:bCs/>
                      <w:i w:val="false"/>
                      <w:iCs w:val="false"/>
                      <w:color w:val="17365D"/>
                      <w:sz w:val="16"/>
                      <w:szCs w:val="16"/>
                    </w:rPr>
                    <w:t xml:space="preserve">Rationale</w:t>
                  </w:r>
                </w:p>
                <w:p>
                  <w:pPr>
                    <w:spacing w:after="60" w:before="0" w:line="240"/>
                    <w:jc w:val="left"/>
                  </w:pPr>
                  <w:r>
                    <w:rPr>
                      <w:rFonts w:ascii="Arial" w:cs="Arial" w:eastAsia="Arial" w:hAnsi="Arial"/>
                      <w:b w:val="false"/>
                      <w:bCs w:val="false"/>
                      <w:i w:val="false"/>
                      <w:iCs w:val="false"/>
                      <w:color w:val="595959"/>
                      <w:sz w:val="16"/>
                      <w:szCs w:val="16"/>
                    </w:rPr>
                    <w:t xml:space="preserve">The driver model has numeric assumption constants and the latest overlay is static by design.</w:t>
                  </w:r>
                </w:p>
              </w:tc>
            </w:tr>
          </w:tbl>
          <w:p/>
        </w:tc>
        <w:tc>
          <w:tcPr>
            <w:tcW w:type="dxa" w:w="9300"/>
            <w:tcBorders>
              <w:top w:val="single" w:color="C9D3DD" w:sz="6"/>
              <w:left w:val="single" w:color="C9D3DD" w:sz="6"/>
              <w:bottom w:val="single" w:color="C9D3DD" w:sz="6"/>
              <w:right w:val="single" w:color="C9D3DD" w:sz="6"/>
            </w:tcBorders>
            <w:shd w:fill="FFFFFF" w:val="clear"/>
            <w:tcMar>
              <w:top w:type="dxa" w:w="120"/>
              <w:left w:type="dxa" w:w="140"/>
              <w:bottom w:type="dxa" w:w="120"/>
              <w:right w:type="dxa" w:w="140"/>
            </w:tcMar>
            <w:vAlign w:val="top"/>
          </w:tcPr>
          <w:p>
            <w:pPr>
              <w:pStyle w:val="Heading2"/>
              <w:spacing w:after="90" w:before="120"/>
            </w:pPr>
            <w:r>
              <w:rPr>
                <w:rFonts w:ascii="Arial" w:cs="Arial" w:eastAsia="Arial" w:hAnsi="Arial"/>
                <w:b/>
                <w:bCs/>
                <w:i w:val="false"/>
                <w:iCs w:val="false"/>
                <w:color w:val="1F4E79"/>
                <w:sz w:val="20"/>
                <w:szCs w:val="20"/>
              </w:rPr>
              <w:t xml:space="preserve">Recommended executive positioning</w:t>
            </w:r>
          </w:p>
          <w:p>
            <w:pPr>
              <w:spacing w:after="80" w:before="0" w:line="240"/>
              <w:jc w:val="left"/>
            </w:pPr>
            <w:r>
              <w:rPr>
                <w:rFonts w:ascii="Arial" w:cs="Arial" w:eastAsia="Arial" w:hAnsi="Arial"/>
                <w:b w:val="false"/>
                <w:bCs w:val="false"/>
                <w:i w:val="false"/>
                <w:iCs w:val="false"/>
                <w:color w:val="222222"/>
                <w:sz w:val="18"/>
                <w:szCs w:val="18"/>
              </w:rPr>
              <w:t xml:space="preserve">The latest financial model package combines a driver-based three-statement model with a 26_0507 investor recalibration overlay. The underlying model is built around explicit product-line drivers, pricing, unit/customer growth, CAC, churn, cost structure, capex, working capital, financing and integrated statement logic.</w:t>
            </w:r>
          </w:p>
          <w:p>
            <w:pPr>
              <w:spacing w:after="80" w:before="0" w:line="240"/>
              <w:jc w:val="left"/>
            </w:pPr>
            <w:r>
              <w:rPr>
                <w:rFonts w:ascii="Arial" w:cs="Arial" w:eastAsia="Arial" w:hAnsi="Arial"/>
                <w:b w:val="false"/>
                <w:bCs w:val="false"/>
                <w:i w:val="false"/>
                <w:iCs w:val="false"/>
                <w:color w:val="222222"/>
                <w:sz w:val="18"/>
                <w:szCs w:val="18"/>
              </w:rPr>
              <w:t xml:space="preserve">The key improvement in the latest overlay is investor-case discipline. The original revenue ramp is preserved as legacy upside, while the recommended first-send case is EUR 0.5m in 2026, EUR 1.5m in 2027 and EUR 4.5m in 2028.</w:t>
            </w:r>
          </w:p>
          <w:p>
            <w:pPr>
              <w:spacing w:after="80" w:before="0" w:line="240"/>
              <w:jc w:val="left"/>
            </w:pPr>
            <w:r>
              <w:rPr>
                <w:rFonts w:ascii="Arial" w:cs="Arial" w:eastAsia="Arial" w:hAnsi="Arial"/>
                <w:b w:val="false"/>
                <w:bCs w:val="false"/>
                <w:i w:val="false"/>
                <w:iCs w:val="false"/>
                <w:color w:val="222222"/>
                <w:sz w:val="18"/>
                <w:szCs w:val="18"/>
              </w:rPr>
              <w:t xml:space="preserve">The remaining work is not another model rebuild. The highest-value next layer is validation: named pipeline, actuals reconciliation, benchmarks, margin proof, legal/claims review and consistent scenario labeling across deck, model and narrative.</w:t>
            </w:r>
          </w:p>
        </w:tc>
      </w:tr>
    </w:tbl>
    <w:p>
      <w:pPr>
        <w:pStyle w:val="Heading1"/>
        <w:pBdr>
          <w:bottom w:val="single" w:color="1F4E79" w:sz="8" w:space="2"/>
        </w:pBdr>
        <w:spacing w:after="120" w:before="180"/>
      </w:pPr>
      <w:r>
        <w:rPr>
          <w:rFonts w:ascii="Arial" w:cs="Arial" w:eastAsia="Arial" w:hAnsi="Arial"/>
          <w:b/>
          <w:bCs/>
          <w:i w:val="false"/>
          <w:iCs w:val="false"/>
          <w:color w:val="17365D"/>
          <w:sz w:val="24"/>
          <w:szCs w:val="24"/>
        </w:rPr>
        <w:t xml:space="preserve">Source notes</w:t>
      </w:r>
    </w:p>
    <w:p>
      <w:pPr>
        <w:spacing w:after="80" w:before="0" w:line="240"/>
        <w:jc w:val="left"/>
      </w:pPr>
      <w:r>
        <w:rPr>
          <w:rFonts w:ascii="Arial" w:cs="Arial" w:eastAsia="Arial" w:hAnsi="Arial"/>
          <w:b w:val="false"/>
          <w:bCs w:val="false"/>
          <w:i w:val="false"/>
          <w:iCs w:val="false"/>
          <w:color w:val="222222"/>
          <w:sz w:val="18"/>
          <w:szCs w:val="18"/>
        </w:rPr>
        <w:t xml:space="preserve">Primary numeric source R1: 26_0507 HROI revenue-runway recalibration bridge, including revenue cases, 2026 product bridge, use-of-funds, KPIs, package margins and release gates.</w:t>
      </w:r>
    </w:p>
    <w:p>
      <w:pPr>
        <w:spacing w:after="80" w:before="0" w:line="240"/>
        <w:jc w:val="left"/>
      </w:pPr>
      <w:r>
        <w:rPr>
          <w:rFonts w:ascii="Arial" w:cs="Arial" w:eastAsia="Arial" w:hAnsi="Arial"/>
          <w:b w:val="false"/>
          <w:bCs w:val="false"/>
          <w:i w:val="false"/>
          <w:iCs w:val="false"/>
          <w:color w:val="222222"/>
          <w:sz w:val="18"/>
          <w:szCs w:val="18"/>
        </w:rPr>
        <w:t xml:space="preserve">Primary numeric source R2: 26_0504 Excel-safe three-statement driver model, including assumptions, product drivers, unit economics, cost/capex, SG&amp;A, income statement, balance sheet, cash flow, dashboard, checks and source map.</w:t>
      </w:r>
    </w:p>
    <w:p>
      <w:pPr>
        <w:spacing w:after="80" w:before="0" w:line="240"/>
        <w:jc w:val="left"/>
      </w:pPr>
      <w:r>
        <w:rPr>
          <w:rFonts w:ascii="Arial" w:cs="Arial" w:eastAsia="Arial" w:hAnsi="Arial"/>
          <w:b w:val="false"/>
          <w:bCs w:val="false"/>
          <w:i w:val="false"/>
          <w:iCs w:val="false"/>
          <w:color w:val="222222"/>
          <w:sz w:val="18"/>
          <w:szCs w:val="18"/>
        </w:rPr>
        <w:t xml:space="preserve">Currency: EUR. Tables marked EUR m show millions unless otherwise stated. CAGR is not shown as meaningful where starting values are zero or negative, or where the metric is a margin.</w:t>
      </w:r>
    </w:p>
    <w:sectPr>
      <w:headerReference w:type="default" r:id="rId7"/>
      <w:footerReference w:type="default" r:id="rId8"/>
      <w:pgSz w:w="15840" w:h="12240"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Arial" w:cs="Arial" w:eastAsia="Arial" w:hAnsi="Arial"/>
        <w:b w:val="false"/>
        <w:bCs w:val="false"/>
        <w:i w:val="false"/>
        <w:iCs w:val="false"/>
        <w:color w:val="595959"/>
        <w:sz w:val="14"/>
        <w:szCs w:val="14"/>
      </w:rPr>
      <w:t xml:space="preserve">Page </w:t>
    </w:r>
    <w:r>
      <w:rPr>
        <w:rFonts w:ascii="Arial" w:cs="Arial" w:eastAsia="Arial" w:hAnsi="Arial"/>
        <w:color w:val="595959"/>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20" w:before="0" w:line="240"/>
      <w:jc w:val="left"/>
    </w:pPr>
    <w:r>
      <w:rPr>
        <w:rFonts w:ascii="Arial" w:cs="Arial" w:eastAsia="Arial" w:hAnsi="Arial"/>
        <w:b w:val="false"/>
        <w:bCs w:val="false"/>
        <w:i w:val="false"/>
        <w:iCs w:val="false"/>
        <w:color w:val="595959"/>
        <w:sz w:val="14"/>
        <w:szCs w:val="14"/>
      </w:rPr>
      <w:t xml:space="preserve">Based Resilience House | Financial model executive summary outline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20" w:hanging="1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pPr>
    <w:rPr>
      <w:rFonts w:ascii="Arial" w:cs="Arial" w:eastAsia="Arial" w:hAnsi="Arial"/>
      <w:b/>
      <w:bCs/>
      <w:color w:val="17365D"/>
      <w:sz w:val="36"/>
      <w:szCs w:val="36"/>
    </w:rPr>
  </w:style>
  <w:style w:type="paragraph" w:styleId="Heading1">
    <w:name w:val="Heading 1"/>
    <w:basedOn w:val="Normal"/>
    <w:next w:val="Normal"/>
    <w:qFormat/>
    <w:pPr>
      <w:spacing w:after="120" w:before="180"/>
      <w:outlineLvl w:val="0"/>
    </w:pPr>
    <w:rPr>
      <w:rFonts w:ascii="Arial" w:cs="Arial" w:eastAsia="Arial" w:hAnsi="Arial"/>
      <w:b/>
      <w:bCs/>
      <w:color w:val="17365D"/>
      <w:sz w:val="24"/>
      <w:szCs w:val="24"/>
    </w:rPr>
  </w:style>
  <w:style w:type="paragraph" w:styleId="Heading2">
    <w:name w:val="Heading 2"/>
    <w:basedOn w:val="Normal"/>
    <w:next w:val="Normal"/>
    <w:qFormat/>
    <w:pPr>
      <w:spacing w:after="90" w:before="120"/>
      <w:outlineLvl w:val="1"/>
    </w:pPr>
    <w:rPr>
      <w:rFonts w:ascii="Arial" w:cs="Arial" w:eastAsia="Arial" w:hAnsi="Arial"/>
      <w:b/>
      <w:bCs/>
      <w:color w:val="1F4E79"/>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2026-05-07T17:50:24.087Z</dcterms:created>
  <dcterms:modified xsi:type="dcterms:W3CDTF">2026-05-07T17:50:24.088Z</dcterms:modified>
</cp:coreProperties>
</file>

<file path=docProps/custom.xml><?xml version="1.0" encoding="utf-8"?>
<Properties xmlns="http://schemas.openxmlformats.org/officeDocument/2006/custom-properties" xmlns:vt="http://schemas.openxmlformats.org/officeDocument/2006/docPropsVTypes"/>
</file>